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Росфинмониторинга от 08.02.2022 N 18</w:t>
              <w:br/>
              <w:t xml:space="preserve">(ред. от 26.08.2022)</w:t>
              <w:br/>
              <w:t xml:space="preserve">"Об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br/>
              <w:t xml:space="preserve">(Зарегистрировано в Минюсте России 22.02.2022 N 67436)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февраля 2022 г. N 67436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ФИНАНСОВОМУ МОНИТОРИНГУ</w:t>
      </w:r>
    </w:p>
    <w:p>
      <w:pPr>
        <w:pStyle w:val="2"/>
        <w:jc w:val="center"/>
      </w:pPr>
      <w:r>
        <w:rPr>
          <w:sz w:val="20"/>
        </w:rPr>
      </w:r>
    </w:p>
    <w:p>
      <w:pPr>
        <w:pStyle w:val="2"/>
        <w:jc w:val="center"/>
      </w:pPr>
      <w:r>
        <w:rPr>
          <w:sz w:val="20"/>
        </w:rPr>
        <w:t xml:space="preserve">ПРИКАЗ</w:t>
      </w:r>
    </w:p>
    <w:p>
      <w:pPr>
        <w:pStyle w:val="2"/>
        <w:jc w:val="center"/>
      </w:pPr>
      <w:r>
        <w:rPr>
          <w:sz w:val="20"/>
        </w:rPr>
        <w:t xml:space="preserve">от 8 февраля 2022 г. N 18</w:t>
      </w:r>
    </w:p>
    <w:p>
      <w:pPr>
        <w:pStyle w:val="2"/>
        <w:jc w:val="center"/>
      </w:pPr>
      <w:r>
        <w:rPr>
          <w:sz w:val="20"/>
        </w:rPr>
      </w:r>
    </w:p>
    <w:p>
      <w:pPr>
        <w:pStyle w:val="2"/>
        <w:jc w:val="center"/>
      </w:pPr>
      <w:r>
        <w:rPr>
          <w:sz w:val="20"/>
        </w:rPr>
        <w:t xml:space="preserve">ОБ УТВЕРЖДЕНИИ ОСОБЕННОСТЕЙ</w:t>
      </w:r>
    </w:p>
    <w:p>
      <w:pPr>
        <w:pStyle w:val="2"/>
        <w:jc w:val="center"/>
      </w:pPr>
      <w:r>
        <w:rPr>
          <w:sz w:val="20"/>
        </w:rPr>
        <w:t xml:space="preserve">ПРЕДСТАВЛЕНИЯ В ФЕДЕРАЛЬНУЮ СЛУЖБУ ПО ФИНАНСОВОМУ</w:t>
      </w:r>
    </w:p>
    <w:p>
      <w:pPr>
        <w:pStyle w:val="2"/>
        <w:jc w:val="center"/>
      </w:pPr>
      <w:r>
        <w:rPr>
          <w:sz w:val="20"/>
        </w:rPr>
        <w:t xml:space="preserve">МОНИТОРИНГУ ИНФОРМАЦИИ, ПРЕДУСМОТРЕННОЙ ФЕДЕРАЛЬНЫМ ЗАКОНОМ</w:t>
      </w:r>
    </w:p>
    <w:p>
      <w:pPr>
        <w:pStyle w:val="2"/>
        <w:jc w:val="center"/>
      </w:pPr>
      <w:r>
        <w:rPr>
          <w:sz w:val="20"/>
        </w:rPr>
        <w:t xml:space="preserve">ОТ 7 АВГУСТА 2001 Г. N 115-ФЗ "О ПРОТИВОДЕЙСТВИИ ЛЕГАЛИЗАЦИИ</w:t>
      </w:r>
    </w:p>
    <w:p>
      <w:pPr>
        <w:pStyle w:val="2"/>
        <w:jc w:val="center"/>
      </w:pPr>
      <w:r>
        <w:rPr>
          <w:sz w:val="20"/>
        </w:rPr>
        <w:t xml:space="preserve">(ОТМЫВАНИЮ) ДОХОДОВ, ПОЛУЧЕННЫХ ПРЕСТУПНЫМ ПУТЕМ,</w:t>
      </w:r>
    </w:p>
    <w:p>
      <w:pPr>
        <w:pStyle w:val="2"/>
        <w:jc w:val="center"/>
      </w:pPr>
      <w:r>
        <w:rPr>
          <w:sz w:val="20"/>
        </w:rPr>
        <w:t xml:space="preserve">И ФИНАНСИРОВАНИЮ ТЕРРОРИЗМА"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color w:val="392c69"/>
              </w:rPr>
              <w:t xml:space="preserve"> Росфинмониторинга от 26.08.2022 N 182)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19.03.2014 N 209 (ред. от 06.10.2022)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quot; {КонсультантПлюс}">
        <w:r>
          <w:rPr>
            <w:sz w:val="20"/>
            <w:color w:val="0000ff"/>
          </w:rPr>
          <w:t xml:space="preserve">пунктом 8</w:t>
        </w:r>
      </w:hyperlink>
      <w:r>
        <w:rPr>
          <w:sz w:val="20"/>
        </w:rPr>
        <w:t xml:space="preserve">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утвержденного постановлением Правительства Российской Федерации от 19 марта 2014 г. N 209 (Собрание законодательства Российской Федерации, 2014, N 12, ст. 1304; 2020, N 43, ст. 6804), </w:t>
      </w:r>
      <w:hyperlink w:history="0" r:id="rId9" w:tooltip="Постановление Правительства РФ от 09.04.2021 N 569 (ред. от 06.10.2022) &quot;Об утверждении Правил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 {КонсультантПлюс}">
        <w:r>
          <w:rPr>
            <w:sz w:val="20"/>
            <w:color w:val="0000ff"/>
          </w:rPr>
          <w:t xml:space="preserve">пунктом 9</w:t>
        </w:r>
      </w:hyperlink>
      <w:r>
        <w:rPr>
          <w:sz w:val="20"/>
        </w:rPr>
        <w:t xml:space="preserve"> Правил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9 апреля 2021 г. N 569 (Собрание законодательства Российской Федерации, 2021, N 16, ст. 2789), </w:t>
      </w:r>
      <w:hyperlink w:history="0" r:id="rId10" w:tooltip="Постановление Правительства РФ от 30.06.2012 N 667 (ред. от 26.10.2022)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quot; {КонсультантПлюс}">
        <w:r>
          <w:rPr>
            <w:sz w:val="20"/>
            <w:color w:val="0000ff"/>
          </w:rPr>
          <w:t xml:space="preserve">пунктом 19(1)</w:t>
        </w:r>
      </w:hyperlink>
      <w:r>
        <w:rPr>
          <w:sz w:val="20"/>
        </w:rP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(Собрание законодательства Российской Федерации, 2012, N 28, ст. 3901; 2021, N 29 ст. 5683), и </w:t>
      </w:r>
      <w:hyperlink w:history="0" r:id="rId11" w:tooltip="Постановление Правительства РФ от 14.07.2021 N 1188 (ред. от 26.10.2022) &quot;Об утверждении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 {КонсультантПлюс}">
        <w:r>
          <w:rPr>
            <w:sz w:val="20"/>
            <w:color w:val="0000ff"/>
          </w:rPr>
          <w:t xml:space="preserve">пунктом 26</w:t>
        </w:r>
      </w:hyperlink>
      <w:r>
        <w:rPr>
          <w:sz w:val="20"/>
        </w:rPr>
        <w:t xml:space="preserve"> требований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утвержденных постановлением Правительства Российской Федерации от 14 июля 2021 г. N 1188 (Собрание законодательства Российской Федерации, 2021, N 29, ст. 5684; официальный интернет-портал правовой информации </w:t>
      </w:r>
      <w:r>
        <w:rPr>
          <w:sz w:val="20"/>
        </w:rPr>
        <w:t xml:space="preserve">http://pravo.gov.ru</w:t>
      </w:r>
      <w:r>
        <w:rPr>
          <w:sz w:val="20"/>
        </w:rPr>
        <w:t xml:space="preserve">, 4 февраля 2022 г., N 0001202202040058), приказываю:</w:t>
      </w:r>
    </w:p>
    <w:p>
      <w:pPr>
        <w:pStyle w:val="0"/>
        <w:jc w:val="both"/>
      </w:pPr>
      <w:r>
        <w:rPr>
          <w:sz w:val="20"/>
        </w:rPr>
        <w:t xml:space="preserve">(в ред. </w:t>
      </w:r>
      <w:hyperlink w:history="0" r:id="rId12"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1. Утвердить прилагаемые </w:t>
      </w:r>
      <w:hyperlink w:history="0" w:anchor="P40" w:tooltip="ОСОБЕННОСТИ">
        <w:r>
          <w:rPr>
            <w:sz w:val="20"/>
            <w:color w:val="0000ff"/>
          </w:rPr>
          <w:t xml:space="preserve">Особенности</w:t>
        </w:r>
      </w:hyperlink>
      <w:r>
        <w:rPr>
          <w:sz w:val="20"/>
        </w:rPr>
        <w:t xml:space="preserve"> представления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8.05.2015 N 37436) ------------ Утратил силу или отменен {КонсультантПлюс}">
        <w:r>
          <w:rPr>
            <w:sz w:val="20"/>
            <w:color w:val="0000ff"/>
          </w:rPr>
          <w:t xml:space="preserve">приказ</w:t>
        </w:r>
      </w:hyperlink>
      <w:r>
        <w:rPr>
          <w:sz w:val="20"/>
        </w:rPr>
        <w:t xml:space="preserve"> Федеральной службы по финансовому мониторингу от 22 апреля 2015 г. N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(зарегистрирован Министерством юстиции Российской Федерации 28 мая 2015 г., регистрационный N 37436);</w:t>
      </w:r>
    </w:p>
    <w:p>
      <w:pPr>
        <w:pStyle w:val="0"/>
        <w:spacing w:before="200" w:line-rule="auto"/>
        <w:ind w:firstLine="540"/>
        <w:jc w:val="both"/>
      </w:pPr>
      <w:hyperlink w:history="0" r:id="rId14" w:tooltip="Приказ Росфинмониторинга от 15.06.2018 N 181 &quot;О внесении изменений в приложение N 4 к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утвержденной приказом Федеральной службы по финансовому мониторингу от 22 апреля 2015 г. N 110&quot; (Зарегистрировано в Минюсте России 06.08.2018 N 51797) ------------ Утратил силу или отменен {КонсультантПлюс}">
        <w:r>
          <w:rPr>
            <w:sz w:val="20"/>
            <w:color w:val="0000ff"/>
          </w:rPr>
          <w:t xml:space="preserve">приказ</w:t>
        </w:r>
      </w:hyperlink>
      <w:r>
        <w:rPr>
          <w:sz w:val="20"/>
        </w:rPr>
        <w:t xml:space="preserve"> Федеральной службы по финансовому мониторингу от 15 июня 2018 г. N 181 "О внесении изменений в приложение N 4 к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22 апреля 2015 г. N 110" (зарегистрирован Министерством юстиции Российской Федерации 6 августа 2018 г., регистрационный N 51797);</w:t>
      </w:r>
    </w:p>
    <w:p>
      <w:pPr>
        <w:pStyle w:val="0"/>
        <w:spacing w:before="200" w:line-rule="auto"/>
        <w:ind w:firstLine="540"/>
        <w:jc w:val="both"/>
      </w:pPr>
      <w:hyperlink w:history="0" r:id="rId15" w:tooltip="Приказ Росфинмониторинга от 09.09.2020 N 214 &quot;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утвержденную приказом Федеральной службы по финансовому мониторингу от 22 апреля 2015 г. N 110&quot; (Зарегистрировано в Минюсте России 06.11.2020 N 60782) ------------ Утратил силу или отменен {КонсультантПлюс}">
        <w:r>
          <w:rPr>
            <w:sz w:val="20"/>
            <w:color w:val="0000ff"/>
          </w:rPr>
          <w:t xml:space="preserve">приказ</w:t>
        </w:r>
      </w:hyperlink>
      <w:r>
        <w:rPr>
          <w:sz w:val="20"/>
        </w:rPr>
        <w:t xml:space="preserve"> Федеральной службы по финансовому мониторингу 9 сентября 2020 г. N 214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22 апреля 2015 г. N 110" (зарегистрирован Министерством юстиции Российской Федерации 6 ноября 2020 г., регистрационный N 60782);</w:t>
      </w:r>
    </w:p>
    <w:p>
      <w:pPr>
        <w:pStyle w:val="0"/>
        <w:spacing w:before="200" w:line-rule="auto"/>
        <w:ind w:firstLine="540"/>
        <w:jc w:val="both"/>
      </w:pPr>
      <w:hyperlink w:history="0" r:id="rId16" w:tooltip="Приказ Росфинмониторинга от 30.10.2020 N 276 &quot;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утвержденную приказом Федеральной службы по финансовому мониторингу от 22 апреля 2015 г. N 110&quot; (Зарегистрировано в Минюсте России 29.12.2020 N 61922) ------------ Утратил силу или отменен {КонсультантПлюс}">
        <w:r>
          <w:rPr>
            <w:sz w:val="20"/>
            <w:color w:val="0000ff"/>
          </w:rPr>
          <w:t xml:space="preserve">приказ</w:t>
        </w:r>
      </w:hyperlink>
      <w:r>
        <w:rPr>
          <w:sz w:val="20"/>
        </w:rPr>
        <w:t xml:space="preserve"> Федеральной службы по финансовому мониторингу от 30 октября 2020 г. N 276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22 апреля 2015 г. N 110" (зарегистрирован Министерством юстиции Российской Федерации 29 декабря 2020 г., регистрационный N 61922).</w:t>
      </w:r>
    </w:p>
    <w:p>
      <w:pPr>
        <w:pStyle w:val="0"/>
        <w:spacing w:before="200" w:line-rule="auto"/>
        <w:ind w:firstLine="540"/>
        <w:jc w:val="both"/>
      </w:pPr>
      <w:r>
        <w:rPr>
          <w:sz w:val="20"/>
        </w:rPr>
        <w:t xml:space="preserve">3. Настоящий приказ вступает в силу с 1 апреля 2022 года.</w:t>
      </w:r>
    </w:p>
    <w:p>
      <w:pPr>
        <w:pStyle w:val="0"/>
        <w:jc w:val="both"/>
      </w:pPr>
      <w:r>
        <w:rPr>
          <w:sz w:val="20"/>
        </w:rPr>
      </w:r>
    </w:p>
    <w:p>
      <w:pPr>
        <w:pStyle w:val="0"/>
        <w:jc w:val="right"/>
      </w:pPr>
      <w:r>
        <w:rPr>
          <w:sz w:val="20"/>
        </w:rPr>
        <w:t xml:space="preserve">И.о. директора</w:t>
      </w:r>
    </w:p>
    <w:p>
      <w:pPr>
        <w:pStyle w:val="0"/>
        <w:jc w:val="right"/>
      </w:pPr>
      <w:r>
        <w:rPr>
          <w:sz w:val="20"/>
        </w:rPr>
        <w:t xml:space="preserve">Ю.Ф.КОРОТКИЙ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Приложение к приказу Федеральной</w:t>
      </w:r>
    </w:p>
    <w:p>
      <w:pPr>
        <w:pStyle w:val="0"/>
        <w:jc w:val="right"/>
      </w:pPr>
      <w:r>
        <w:rPr>
          <w:sz w:val="20"/>
        </w:rPr>
        <w:t xml:space="preserve">службы по финансовому мониторингу</w:t>
      </w:r>
    </w:p>
    <w:p>
      <w:pPr>
        <w:pStyle w:val="0"/>
        <w:jc w:val="right"/>
      </w:pPr>
      <w:r>
        <w:rPr>
          <w:sz w:val="20"/>
        </w:rPr>
        <w:t xml:space="preserve">от 08.02.2022 N 18</w:t>
      </w:r>
    </w:p>
    <w:p>
      <w:pPr>
        <w:pStyle w:val="0"/>
        <w:jc w:val="both"/>
      </w:pPr>
      <w:r>
        <w:rPr>
          <w:sz w:val="20"/>
        </w:rPr>
      </w:r>
    </w:p>
    <w:bookmarkStart w:id="40" w:name="P40"/>
    <w:bookmarkEnd w:id="40"/>
    <w:p>
      <w:pPr>
        <w:pStyle w:val="2"/>
        <w:jc w:val="center"/>
      </w:pPr>
      <w:r>
        <w:rPr>
          <w:sz w:val="20"/>
        </w:rPr>
        <w:t xml:space="preserve">ОСОБЕННОСТИ</w:t>
      </w:r>
    </w:p>
    <w:p>
      <w:pPr>
        <w:pStyle w:val="2"/>
        <w:jc w:val="center"/>
      </w:pPr>
      <w:r>
        <w:rPr>
          <w:sz w:val="20"/>
        </w:rPr>
        <w:t xml:space="preserve">ПРЕДСТАВЛЕНИЯ В ФЕДЕРАЛЬНУЮ СЛУЖБУ ПО ФИНАНСОВОМУ</w:t>
      </w:r>
    </w:p>
    <w:p>
      <w:pPr>
        <w:pStyle w:val="2"/>
        <w:jc w:val="center"/>
      </w:pPr>
      <w:r>
        <w:rPr>
          <w:sz w:val="20"/>
        </w:rPr>
        <w:t xml:space="preserve">МОНИТОРИНГУ ИНФОРМАЦИИ, ПРЕДУСМОТРЕННОЙ ФЕДЕРАЛЬНЫМ ЗАКОНОМ</w:t>
      </w:r>
    </w:p>
    <w:p>
      <w:pPr>
        <w:pStyle w:val="2"/>
        <w:jc w:val="center"/>
      </w:pPr>
      <w:r>
        <w:rPr>
          <w:sz w:val="20"/>
        </w:rPr>
        <w:t xml:space="preserve">ОТ 7 АВГУСТА 2001 Г. N 115-ФЗ "О ПРОТИВОДЕЙСТВИИ ЛЕГАЛИЗАЦИИ</w:t>
      </w:r>
    </w:p>
    <w:p>
      <w:pPr>
        <w:pStyle w:val="2"/>
        <w:jc w:val="center"/>
      </w:pPr>
      <w:r>
        <w:rPr>
          <w:sz w:val="20"/>
        </w:rPr>
        <w:t xml:space="preserve">(ОТМЫВАНИЮ) ДОХОДОВ, ПОЛУЧЕННЫХ ПРЕСТУПНЫМ ПУТЕМ,</w:t>
      </w:r>
    </w:p>
    <w:p>
      <w:pPr>
        <w:pStyle w:val="2"/>
        <w:jc w:val="center"/>
      </w:pPr>
      <w:r>
        <w:rPr>
          <w:sz w:val="20"/>
        </w:rPr>
        <w:t xml:space="preserve">И ФИНАНСИРОВАНИЮ ТЕРРОРИЗМА"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color w:val="392c69"/>
              </w:rPr>
              <w:t xml:space="preserve"> Росфинмониторинга от 26.08.2022 N 182)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Положения настоящих Особенностей распространяются на:</w:t>
      </w:r>
    </w:p>
    <w:p>
      <w:pPr>
        <w:pStyle w:val="0"/>
        <w:spacing w:before="200" w:line-rule="auto"/>
        <w:ind w:firstLine="540"/>
        <w:jc w:val="both"/>
      </w:pPr>
      <w:r>
        <w:rPr>
          <w:sz w:val="20"/>
        </w:rPr>
        <w:t xml:space="preserve">а) лизинговые компании, организации федеральной почтовой связи, организации, осуществляющие скупку, куплю-продажу драгоценных металлов и драгоценных камней, ювелирных изделий из них и лома таких изделий, организаторов азартных игр, организации, оказывающие посреднические услуги при осуществлении сделок купли-продажи недвижимого имущества, операторов по приему платежей, коммерческие организации, заключающие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операторов лотерей (далее - организации), указанных в </w:t>
      </w:r>
      <w:hyperlink w:history="0" r:id="rId1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части первой статьи 5</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2021, N 27, ст. 5171) (далее - Федеральный закон);</w:t>
      </w:r>
    </w:p>
    <w:p>
      <w:pPr>
        <w:pStyle w:val="0"/>
        <w:spacing w:before="200" w:line-rule="auto"/>
        <w:ind w:firstLine="540"/>
        <w:jc w:val="both"/>
      </w:pPr>
      <w:r>
        <w:rPr>
          <w:sz w:val="20"/>
        </w:rPr>
        <w:t xml:space="preserve">б)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 указанных в </w:t>
      </w:r>
      <w:hyperlink w:history="0" r:id="rId1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части второй статьи 5</w:t>
        </w:r>
      </w:hyperlink>
      <w:r>
        <w:rPr>
          <w:sz w:val="20"/>
        </w:rPr>
        <w:t xml:space="preserve"> Федерального закона;</w:t>
      </w:r>
    </w:p>
    <w:p>
      <w:pPr>
        <w:pStyle w:val="0"/>
        <w:spacing w:before="200" w:line-rule="auto"/>
        <w:ind w:firstLine="540"/>
        <w:jc w:val="both"/>
      </w:pPr>
      <w:r>
        <w:rPr>
          <w:sz w:val="20"/>
        </w:rPr>
        <w:t xml:space="preserve">в) адвокатов, нотариусов, доверительных собственников (управляющих) иностранной структуры без образования юридического лица (далее - доверительные собственники), исполнительные органы личного фонда, имеющего статус международного фонда (кроме международного наследственного фонда) (далее - исполнительные органы международного личного фонда), лиц, осуществляющих предпринимательскую деятельность в сфере оказания юридических или бухгалтерских услуг (далее - лица, оказывающие юридические или бухгалтерские услуги), аудиторские организации и индивидуальных аудиторов (далее - аудиторы) (далее при совместном упоминании - лица, указанные в </w:t>
      </w:r>
      <w:hyperlink w:history="0" r:id="rId2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w:t>
      </w:r>
    </w:p>
    <w:p>
      <w:pPr>
        <w:pStyle w:val="0"/>
        <w:jc w:val="both"/>
      </w:pPr>
      <w:r>
        <w:rPr>
          <w:sz w:val="20"/>
        </w:rPr>
        <w:t xml:space="preserve">(пп. "в" в ред. </w:t>
      </w:r>
      <w:hyperlink w:history="0" r:id="rId21"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г) утратил силу. - </w:t>
      </w:r>
      <w:hyperlink w:history="0" r:id="rId22"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w:t>
        </w:r>
      </w:hyperlink>
      <w:r>
        <w:rPr>
          <w:sz w:val="20"/>
        </w:rPr>
        <w:t xml:space="preserve"> Росфинмониторинга от 26.08.2022 N 182.</w:t>
      </w:r>
    </w:p>
    <w:p>
      <w:pPr>
        <w:pStyle w:val="0"/>
        <w:spacing w:before="200" w:line-rule="auto"/>
        <w:ind w:firstLine="540"/>
        <w:jc w:val="both"/>
      </w:pPr>
      <w:r>
        <w:rPr>
          <w:sz w:val="20"/>
        </w:rPr>
        <w:t xml:space="preserve">2. Организации и индивидуальные предприниматели представляют информацию в Росфинмониторинг в порядке, предусмотренном </w:t>
      </w:r>
      <w:hyperlink w:history="0" r:id="rId23" w:tooltip="Постановление Правительства РФ от 19.03.2014 N 209 (ред. от 06.10.2022)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quot; {КонсультантПлюс}">
        <w:r>
          <w:rPr>
            <w:sz w:val="20"/>
            <w:color w:val="0000ff"/>
          </w:rPr>
          <w:t xml:space="preserve">Положением</w:t>
        </w:r>
      </w:hyperlink>
      <w:r>
        <w:rPr>
          <w:sz w:val="20"/>
        </w:rPr>
        <w:t xml:space="preserve">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утвержденным постановлением Правительства Российской Федерации от 19 марта 2014 г. N 209. Лица, указанные в </w:t>
      </w:r>
      <w:hyperlink w:history="0" r:id="rId2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представляют информацию в Росфинмониторинг в порядке, предусмотренном </w:t>
      </w:r>
      <w:hyperlink w:history="0" r:id="rId25" w:tooltip="Постановление Правительства РФ от 09.04.2021 N 569 (ред. от 06.10.2022) &quot;Об утверждении Правил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 {КонсультантПлюс}">
        <w:r>
          <w:rPr>
            <w:sz w:val="20"/>
            <w:color w:val="0000ff"/>
          </w:rPr>
          <w:t xml:space="preserve">Правилами</w:t>
        </w:r>
      </w:hyperlink>
      <w:r>
        <w:rPr>
          <w:sz w:val="20"/>
        </w:rPr>
        <w:t xml:space="preserve">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утвержденными постановлением Правительства Российской Федерации от 9 апреля 2021 г. N 569.</w:t>
      </w:r>
    </w:p>
    <w:p>
      <w:pPr>
        <w:pStyle w:val="0"/>
        <w:jc w:val="both"/>
      </w:pPr>
      <w:r>
        <w:rPr>
          <w:sz w:val="20"/>
        </w:rPr>
        <w:t xml:space="preserve">(в ред. </w:t>
      </w:r>
      <w:hyperlink w:history="0" r:id="rId26"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bookmarkStart w:id="57" w:name="P57"/>
    <w:bookmarkEnd w:id="57"/>
    <w:p>
      <w:pPr>
        <w:pStyle w:val="0"/>
        <w:spacing w:before="200" w:line-rule="auto"/>
        <w:ind w:firstLine="540"/>
        <w:jc w:val="both"/>
      </w:pPr>
      <w:r>
        <w:rPr>
          <w:sz w:val="20"/>
        </w:rPr>
        <w:t xml:space="preserve">3. Организации и индивидуальные предприниматели представляют в Росфинмониторинг следующую информацию:</w:t>
      </w:r>
    </w:p>
    <w:p>
      <w:pPr>
        <w:pStyle w:val="0"/>
        <w:spacing w:before="200" w:line-rule="auto"/>
        <w:ind w:firstLine="540"/>
        <w:jc w:val="both"/>
      </w:pPr>
      <w:r>
        <w:rPr>
          <w:sz w:val="20"/>
        </w:rPr>
        <w:t xml:space="preserve">а) об операциях с денежными средствами или иным имуществом, подлежащих обязательному контролю, - в течение 3 рабочих дней, следующих за днем совершения операции (сделки), подлежащей обязательному контролю;</w:t>
      </w:r>
    </w:p>
    <w:bookmarkStart w:id="59" w:name="P59"/>
    <w:bookmarkEnd w:id="59"/>
    <w:p>
      <w:pPr>
        <w:pStyle w:val="0"/>
        <w:spacing w:before="200" w:line-rule="auto"/>
        <w:ind w:firstLine="540"/>
        <w:jc w:val="both"/>
      </w:pPr>
      <w:r>
        <w:rPr>
          <w:sz w:val="20"/>
        </w:rPr>
        <w:t xml:space="preserve">б) о разовых операциях с денежными средствами или иным имуществом либо о совокупности операций и (или) действий клиента, связанных с проведением каких-либо операций, его представителя в рамках обслуживания клиента,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разовой операции и (или) совокупности операций и (или) действий клиента, в отношении которых возникают подозрения об их осуществлении в целях легализации (отмывания) доходов, полученных преступным путем, или финансирования терроризма;</w:t>
      </w:r>
    </w:p>
    <w:p>
      <w:pPr>
        <w:pStyle w:val="0"/>
        <w:spacing w:before="200" w:line-rule="auto"/>
        <w:ind w:firstLine="540"/>
        <w:jc w:val="both"/>
      </w:pPr>
      <w:r>
        <w:rPr>
          <w:sz w:val="20"/>
        </w:rPr>
        <w:t xml:space="preserve">в) о принятых мерах по замораживанию (блокированию) денежных средств или иного имущества, принадлежащих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включенным в перечень организаций или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межведомственным координационным органом, осуществляющим функции по противодействию финансированию терроризма, принято решение, предусмотренное </w:t>
      </w:r>
      <w:hyperlink w:history="0" r:id="rId2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частью 1 статьи 7.4</w:t>
        </w:r>
      </w:hyperlink>
      <w:r>
        <w:rPr>
          <w:sz w:val="20"/>
        </w:rPr>
        <w:t xml:space="preserve"> Федерального закона, - незамедлительно в день применения названных мер по замораживанию (блокированию);</w:t>
      </w:r>
    </w:p>
    <w:p>
      <w:pPr>
        <w:pStyle w:val="0"/>
        <w:spacing w:before="200" w:line-rule="auto"/>
        <w:ind w:firstLine="540"/>
        <w:jc w:val="both"/>
      </w:pPr>
      <w:r>
        <w:rPr>
          <w:sz w:val="20"/>
        </w:rPr>
        <w:t xml:space="preserve">г)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 в течение 5 рабочих дней, следующих за днем окончания данной проверки;</w:t>
      </w:r>
    </w:p>
    <w:p>
      <w:pPr>
        <w:pStyle w:val="0"/>
        <w:spacing w:before="200" w:line-rule="auto"/>
        <w:ind w:firstLine="540"/>
        <w:jc w:val="both"/>
      </w:pPr>
      <w:r>
        <w:rPr>
          <w:sz w:val="20"/>
        </w:rPr>
        <w:t xml:space="preserve">д)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w:history="0" r:id="rId2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 в течение 5 рабочих дней, следующих за днем выявления соответствующих фактов;</w:t>
      </w:r>
    </w:p>
    <w:p>
      <w:pPr>
        <w:pStyle w:val="0"/>
        <w:spacing w:before="200" w:line-rule="auto"/>
        <w:ind w:firstLine="540"/>
        <w:jc w:val="both"/>
      </w:pPr>
      <w:r>
        <w:rPr>
          <w:sz w:val="20"/>
        </w:rPr>
        <w:t xml:space="preserve">е) о приостановленных в соответствии с </w:t>
      </w:r>
      <w:hyperlink w:history="0" r:id="rId2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10 статьи 7</w:t>
        </w:r>
      </w:hyperlink>
      <w:r>
        <w:rPr>
          <w:sz w:val="20"/>
        </w:rPr>
        <w:t xml:space="preserve">, </w:t>
      </w:r>
      <w:hyperlink w:history="0" r:id="rId3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8 статьи 7.5</w:t>
        </w:r>
      </w:hyperlink>
      <w:r>
        <w:rPr>
          <w:sz w:val="20"/>
        </w:rPr>
        <w:t xml:space="preserve"> и </w:t>
      </w:r>
      <w:hyperlink w:history="0" r:id="rId3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частью четвертой статьи 8</w:t>
        </w:r>
      </w:hyperlink>
      <w:r>
        <w:rPr>
          <w:sz w:val="20"/>
        </w:rPr>
        <w:t xml:space="preserve"> Федерального закона операциях с денежными средствами или иным имуществом - незамедлительно в день приостановления операции с денежными средствами или иным имуществом;</w:t>
      </w:r>
    </w:p>
    <w:p>
      <w:pPr>
        <w:pStyle w:val="0"/>
        <w:spacing w:before="200" w:line-rule="auto"/>
        <w:ind w:firstLine="540"/>
        <w:jc w:val="both"/>
      </w:pPr>
      <w:r>
        <w:rPr>
          <w:sz w:val="20"/>
        </w:rPr>
        <w:t xml:space="preserve">ж) о случаях отказа в проведении операций с денежными средствами или иным имуществом по основанию, указанному в </w:t>
      </w:r>
      <w:hyperlink w:history="0" r:id="rId3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пункте 11 статьи 7</w:t>
        </w:r>
      </w:hyperlink>
      <w:r>
        <w:rPr>
          <w:sz w:val="20"/>
        </w:rPr>
        <w:t xml:space="preserve"> Федерального закона, - не позднее рабочего дня, следующего за днем принятия решения об отказе от проведения операции;</w:t>
      </w:r>
    </w:p>
    <w:p>
      <w:pPr>
        <w:pStyle w:val="0"/>
        <w:spacing w:before="200" w:line-rule="auto"/>
        <w:ind w:firstLine="540"/>
        <w:jc w:val="both"/>
      </w:pPr>
      <w:r>
        <w:rPr>
          <w:sz w:val="20"/>
        </w:rPr>
        <w:t xml:space="preserve">з) о предусмотренном </w:t>
      </w:r>
      <w:hyperlink w:history="0" r:id="rId3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абзацем вторым пункта 13 статьи 7</w:t>
        </w:r>
      </w:hyperlink>
      <w:r>
        <w:rPr>
          <w:sz w:val="20"/>
        </w:rPr>
        <w:t xml:space="preserve"> Федерального закона устранении указанного в </w:t>
      </w:r>
      <w:hyperlink w:history="0" r:id="rId3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пункте 11 статьи 7</w:t>
        </w:r>
      </w:hyperlink>
      <w:r>
        <w:rPr>
          <w:sz w:val="20"/>
        </w:rPr>
        <w:t xml:space="preserve"> Федерального закона основания, в соответствии с которым принято решение об отказе от проведения операции с денежными средствами или иным имуществом, либо об отмене судом такого решения - не позднее рабочего дня, следующего за днем устранения соответствующего основания либо получения организацией и индивидуальным предпринимателем вступившего в законную силу соответствующего решения суда.</w:t>
      </w:r>
    </w:p>
    <w:bookmarkStart w:id="66" w:name="P66"/>
    <w:bookmarkEnd w:id="66"/>
    <w:p>
      <w:pPr>
        <w:pStyle w:val="0"/>
        <w:spacing w:before="200" w:line-rule="auto"/>
        <w:ind w:firstLine="540"/>
        <w:jc w:val="both"/>
      </w:pPr>
      <w:r>
        <w:rPr>
          <w:sz w:val="20"/>
        </w:rPr>
        <w:t xml:space="preserve">4. Организации федеральной почтовой связи в дополнение к информации, указанной в </w:t>
      </w:r>
      <w:hyperlink w:history="0" w:anchor="P57" w:tooltip="3. Организации и индивидуальные предприниматели представляют в Росфинмониторинг следующую информацию:">
        <w:r>
          <w:rPr>
            <w:sz w:val="20"/>
            <w:color w:val="0000ff"/>
          </w:rPr>
          <w:t xml:space="preserve">пункте 3</w:t>
        </w:r>
      </w:hyperlink>
      <w:r>
        <w:rPr>
          <w:sz w:val="20"/>
        </w:rPr>
        <w:t xml:space="preserve"> настоящих Особенностей, представляют в Росфинмониторинг информацию о почтовых переводах денежных средств, при осуществлении которых в поступившем почтовом сообщении отсутствует предусмотренная </w:t>
      </w:r>
      <w:hyperlink w:history="0" r:id="rId3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7 статьи 7.2</w:t>
        </w:r>
      </w:hyperlink>
      <w:r>
        <w:rPr>
          <w:sz w:val="20"/>
        </w:rP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 - не позднее рабочего дня, следующего за днем признания такой операции подозрительной.</w:t>
      </w:r>
    </w:p>
    <w:p>
      <w:pPr>
        <w:pStyle w:val="0"/>
        <w:spacing w:before="200" w:line-rule="auto"/>
        <w:ind w:firstLine="540"/>
        <w:jc w:val="both"/>
      </w:pPr>
      <w:r>
        <w:rPr>
          <w:sz w:val="20"/>
        </w:rPr>
        <w:t xml:space="preserve">5. Адвокаты, нотариусы, доверительные собственники, исполнительные органы международного личного фонда, лица, оказывающие юридические или бухгалтерские услуги, представляют в Росфинмониторинг информацию о сделках или финансовых операциях, указанных в </w:t>
      </w:r>
      <w:hyperlink w:history="0" r:id="rId3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пункте 1 статьи 7.1</w:t>
        </w:r>
      </w:hyperlink>
      <w:r>
        <w:rPr>
          <w:sz w:val="20"/>
        </w:rPr>
        <w:t xml:space="preserve"> Федерального закона, при наличии у них любых оснований полагать, что такие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данной сделки или финансовой операции.</w:t>
      </w:r>
    </w:p>
    <w:p>
      <w:pPr>
        <w:pStyle w:val="0"/>
        <w:jc w:val="both"/>
      </w:pPr>
      <w:r>
        <w:rPr>
          <w:sz w:val="20"/>
        </w:rPr>
        <w:t xml:space="preserve">(в ред. </w:t>
      </w:r>
      <w:hyperlink w:history="0" r:id="rId37"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bookmarkStart w:id="69" w:name="P69"/>
    <w:bookmarkEnd w:id="69"/>
    <w:p>
      <w:pPr>
        <w:pStyle w:val="0"/>
        <w:spacing w:before="200" w:line-rule="auto"/>
        <w:ind w:firstLine="540"/>
        <w:jc w:val="both"/>
      </w:pPr>
      <w:r>
        <w:rPr>
          <w:sz w:val="20"/>
        </w:rPr>
        <w:t xml:space="preserve">6. Аудиторы представляют в Росфинмониторинг информацию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указанной сделки или финансовой операции.</w:t>
      </w:r>
    </w:p>
    <w:bookmarkStart w:id="70" w:name="P70"/>
    <w:bookmarkEnd w:id="70"/>
    <w:p>
      <w:pPr>
        <w:pStyle w:val="0"/>
        <w:spacing w:before="200" w:line-rule="auto"/>
        <w:ind w:firstLine="540"/>
        <w:jc w:val="both"/>
      </w:pPr>
      <w:r>
        <w:rPr>
          <w:sz w:val="20"/>
        </w:rPr>
        <w:t xml:space="preserve">7. Информация, указанная в </w:t>
      </w:r>
      <w:hyperlink w:history="0" w:anchor="P57" w:tooltip="3. Организации и индивидуальные предприниматели представляют в Росфинмониторинг следующую информацию:">
        <w:r>
          <w:rPr>
            <w:sz w:val="20"/>
            <w:color w:val="0000ff"/>
          </w:rPr>
          <w:t xml:space="preserve">пунктах 3</w:t>
        </w:r>
      </w:hyperlink>
      <w:r>
        <w:rPr>
          <w:sz w:val="20"/>
        </w:rPr>
        <w:t xml:space="preserve"> - </w:t>
      </w:r>
      <w:hyperlink w:history="0" w:anchor="P69" w:tooltip="6. Аудиторы представляют в Росфинмониторинг информацию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указанной сделки или финансовой операции.">
        <w:r>
          <w:rPr>
            <w:sz w:val="20"/>
            <w:color w:val="0000ff"/>
          </w:rPr>
          <w:t xml:space="preserve">6</w:t>
        </w:r>
      </w:hyperlink>
      <w:r>
        <w:rPr>
          <w:sz w:val="20"/>
        </w:rPr>
        <w:t xml:space="preserve"> настоящих Особенностей, направляется в Росфинмониторинг в виде файла формата XML в кодировке UTF-8 &lt;1&gt; (далее - формализованное электронное сообщение, ФЭС).</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Спецификация W3C. http://www.w3.org/xml</w:t>
      </w:r>
    </w:p>
    <w:p>
      <w:pPr>
        <w:pStyle w:val="0"/>
        <w:jc w:val="both"/>
      </w:pPr>
      <w:r>
        <w:rPr>
          <w:sz w:val="20"/>
        </w:rPr>
      </w:r>
    </w:p>
    <w:p>
      <w:pPr>
        <w:pStyle w:val="0"/>
        <w:ind w:firstLine="540"/>
        <w:jc w:val="both"/>
      </w:pPr>
      <w:r>
        <w:rPr>
          <w:sz w:val="20"/>
        </w:rPr>
        <w:t xml:space="preserve">8. ФЭС состоит из наименования, служебной и информационной частей.</w:t>
      </w:r>
    </w:p>
    <w:bookmarkStart w:id="75" w:name="P75"/>
    <w:bookmarkEnd w:id="75"/>
    <w:p>
      <w:pPr>
        <w:pStyle w:val="0"/>
        <w:spacing w:before="200" w:line-rule="auto"/>
        <w:ind w:firstLine="540"/>
        <w:jc w:val="both"/>
      </w:pPr>
      <w:r>
        <w:rPr>
          <w:sz w:val="20"/>
        </w:rPr>
        <w:t xml:space="preserve">9. </w:t>
      </w:r>
      <w:hyperlink w:history="0" r:id="rId38" w:tooltip="&quot;Описание структур наименования, служебной и информационной частей ФЭС, описание кодов признаков, указывающих на необычный характер операций (сделок), и требования к технологическим электронным документам, направление которых регламентировано Особенностями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утве {КонсультантПлюс}">
        <w:r>
          <w:rPr>
            <w:sz w:val="20"/>
            <w:color w:val="0000ff"/>
          </w:rPr>
          <w:t xml:space="preserve">Описание</w:t>
        </w:r>
      </w:hyperlink>
      <w:r>
        <w:rPr>
          <w:sz w:val="20"/>
        </w:rPr>
        <w:t xml:space="preserve"> структур наименования, служебной и информационной частей ФЭС размещается на официальном сайте Росфинмониторинга в информационно-телекоммуникационной сети "Интернет" по адресу </w:t>
      </w:r>
      <w:r>
        <w:rPr>
          <w:sz w:val="20"/>
        </w:rPr>
        <w:t xml:space="preserve">www.fedsfm.ru</w:t>
      </w:r>
      <w:r>
        <w:rPr>
          <w:sz w:val="20"/>
        </w:rPr>
        <w:t xml:space="preserve"> (далее - официальный сайт Росфинмониторинга) в разделе "Документы Росфинмониторинга".</w:t>
      </w:r>
    </w:p>
    <w:p>
      <w:pPr>
        <w:pStyle w:val="0"/>
        <w:spacing w:before="200" w:line-rule="auto"/>
        <w:ind w:firstLine="540"/>
        <w:jc w:val="both"/>
      </w:pPr>
      <w:r>
        <w:rPr>
          <w:sz w:val="20"/>
        </w:rPr>
        <w:t xml:space="preserve">10. Подготовка ФЭС осуществляется организациями, индивидуальными предпринимателями, лицами, указанными в </w:t>
      </w:r>
      <w:hyperlink w:history="0" r:id="rId3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с помощью программного обеспечения, размещенного в личном кабинете организации, индивидуального предпринимателя, адвоката, нотариуса, доверительного собственника, лица, оказывающего юридические или бухгалтерские услуги, и аудитора на официальном сайте Росфинмониторинга (далее - личный кабинет).</w:t>
      </w:r>
    </w:p>
    <w:p>
      <w:pPr>
        <w:pStyle w:val="0"/>
        <w:jc w:val="both"/>
      </w:pPr>
      <w:r>
        <w:rPr>
          <w:sz w:val="20"/>
        </w:rPr>
        <w:t xml:space="preserve">(в ред. </w:t>
      </w:r>
      <w:hyperlink w:history="0" r:id="rId40"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Подготовка ФЭС может осуществляться организациями, индивидуальными предпринимателями, лицами, указанными в </w:t>
      </w:r>
      <w:hyperlink w:history="0" r:id="rId4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с помощью иного программного обеспечения, разработанного с учетом требований </w:t>
      </w:r>
      <w:hyperlink w:history="0" w:anchor="P70" w:tooltip="7. Информация, указанная в пунктах 3 - 6 настоящих Особенностей, направляется в Росфинмониторинг в виде файла формата XML в кодировке UTF-8 &lt;1&gt; (далее - формализованное электронное сообщение, ФЭС).">
        <w:r>
          <w:rPr>
            <w:sz w:val="20"/>
            <w:color w:val="0000ff"/>
          </w:rPr>
          <w:t xml:space="preserve">пунктов 7</w:t>
        </w:r>
      </w:hyperlink>
      <w:r>
        <w:rPr>
          <w:sz w:val="20"/>
        </w:rPr>
        <w:t xml:space="preserve"> - </w:t>
      </w:r>
      <w:hyperlink w:history="0" w:anchor="P75" w:tooltip="9. Описание структур наименования, служебной и информационной частей ФЭС размещается на официальном сайте Росфинмониторинга в информационно-телекоммуникационной сети &quot;Интернет&quot; по адресу www.fedsfm.ru (далее - официальный сайт Росфинмониторинга) в разделе &quot;Документы Росфинмониторинга&quot;.">
        <w:r>
          <w:rPr>
            <w:sz w:val="20"/>
            <w:color w:val="0000ff"/>
          </w:rPr>
          <w:t xml:space="preserve">9</w:t>
        </w:r>
      </w:hyperlink>
      <w:r>
        <w:rPr>
          <w:sz w:val="20"/>
        </w:rPr>
        <w:t xml:space="preserve"> настоящих Особенностей.</w:t>
      </w:r>
    </w:p>
    <w:p>
      <w:pPr>
        <w:pStyle w:val="0"/>
        <w:jc w:val="both"/>
      </w:pPr>
      <w:r>
        <w:rPr>
          <w:sz w:val="20"/>
        </w:rPr>
        <w:t xml:space="preserve">(в ред. </w:t>
      </w:r>
      <w:hyperlink w:history="0" r:id="rId42"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bookmarkStart w:id="80" w:name="P80"/>
    <w:bookmarkEnd w:id="80"/>
    <w:p>
      <w:pPr>
        <w:pStyle w:val="0"/>
        <w:spacing w:before="200" w:line-rule="auto"/>
        <w:ind w:firstLine="540"/>
        <w:jc w:val="both"/>
      </w:pPr>
      <w:r>
        <w:rPr>
          <w:sz w:val="20"/>
        </w:rPr>
        <w:t xml:space="preserve">11.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 отношении информации, указанной в </w:t>
      </w:r>
      <w:hyperlink w:history="0" w:anchor="P59" w:tooltip="б) о разовых операциях с денежными средствами или иным имуществом либо о совокупности операций и (или) действий клиента, связанных с проведением каких-либо операций, его представителя в рамках обслуживания клиента,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разовой операции и (или) совокупн...">
        <w:r>
          <w:rPr>
            <w:sz w:val="20"/>
            <w:color w:val="0000ff"/>
          </w:rPr>
          <w:t xml:space="preserve">подпункте "б" пункта 3</w:t>
        </w:r>
      </w:hyperlink>
      <w:r>
        <w:rPr>
          <w:sz w:val="20"/>
        </w:rPr>
        <w:t xml:space="preserve">, </w:t>
      </w:r>
      <w:hyperlink w:history="0" w:anchor="P66" w:tooltip="4. Организации федеральной почтовой связи в дополнение к информации, указанной в пункте 3 настоящих Особенностей, представляют в Росфинмониторинг информацию о почтовых переводах денежных средств, при осуществлении которых в поступившем почтовом сообщении отсутствует предусмотренная пунктом 7 статьи 7.2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
        <w:r>
          <w:rPr>
            <w:sz w:val="20"/>
            <w:color w:val="0000ff"/>
          </w:rPr>
          <w:t xml:space="preserve">пунктах 4</w:t>
        </w:r>
      </w:hyperlink>
      <w:r>
        <w:rPr>
          <w:sz w:val="20"/>
        </w:rPr>
        <w:t xml:space="preserve"> - </w:t>
      </w:r>
      <w:hyperlink w:history="0" w:anchor="P69" w:tooltip="6. Аудиторы представляют в Росфинмониторинг информацию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указанной сделки или финансовой операции.">
        <w:r>
          <w:rPr>
            <w:sz w:val="20"/>
            <w:color w:val="0000ff"/>
          </w:rPr>
          <w:t xml:space="preserve">6</w:t>
        </w:r>
      </w:hyperlink>
      <w:r>
        <w:rPr>
          <w:sz w:val="20"/>
        </w:rPr>
        <w:t xml:space="preserve"> настоящих Особенностей, организации, индивидуальные предприниматели, лица, указанные в </w:t>
      </w:r>
      <w:hyperlink w:history="0" r:id="rId4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используют </w:t>
      </w:r>
      <w:hyperlink w:history="0" w:anchor="P140" w:tooltip="ПЕРЕЧЕНЬ">
        <w:r>
          <w:rPr>
            <w:sz w:val="20"/>
            <w:color w:val="0000ff"/>
          </w:rPr>
          <w:t xml:space="preserve">перечень</w:t>
        </w:r>
      </w:hyperlink>
      <w:r>
        <w:rPr>
          <w:sz w:val="20"/>
        </w:rPr>
        <w:t xml:space="preserve"> признаков, указывающих на необычный характер операций (сделок), приведенный в приложении к настоящим Особенностям, и описание кодов данных признаков, размещенное на официальном сайте Росфинмониторинга в разделе "Документы Росфинмониторинга".</w:t>
      </w:r>
    </w:p>
    <w:p>
      <w:pPr>
        <w:pStyle w:val="0"/>
        <w:jc w:val="both"/>
      </w:pPr>
      <w:r>
        <w:rPr>
          <w:sz w:val="20"/>
        </w:rPr>
        <w:t xml:space="preserve">(в ред. </w:t>
      </w:r>
      <w:hyperlink w:history="0" r:id="rId44"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Коды признаков, указывающих на необычный характер операций (сделок), включенные организациями, индивидуальными предпринимателями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а лицами, указанными в </w:t>
      </w:r>
      <w:hyperlink w:history="0" r:id="rId4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 в программу выявления сделок и финансовых операций, имеющих признаки связи с легализацией (отмыванием) доходов, полученных преступным путем, или финансированием терроризма, и представления сведений о них в Росфинмониторинг, которые разрабатываются в составе правил внутреннего контроля, используются организациями, индивидуальными предпринимателями, лицами, указанными в </w:t>
      </w:r>
      <w:hyperlink w:history="0" r:id="rId4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при формировании информационной части ФЭС.</w:t>
      </w:r>
    </w:p>
    <w:p>
      <w:pPr>
        <w:pStyle w:val="0"/>
        <w:jc w:val="both"/>
      </w:pPr>
      <w:r>
        <w:rPr>
          <w:sz w:val="20"/>
        </w:rPr>
        <w:t xml:space="preserve">(в ред. </w:t>
      </w:r>
      <w:hyperlink w:history="0" r:id="rId47"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bookmarkStart w:id="84" w:name="P84"/>
    <w:bookmarkEnd w:id="84"/>
    <w:p>
      <w:pPr>
        <w:pStyle w:val="0"/>
        <w:spacing w:before="200" w:line-rule="auto"/>
        <w:ind w:firstLine="540"/>
        <w:jc w:val="both"/>
      </w:pPr>
      <w:r>
        <w:rPr>
          <w:sz w:val="20"/>
        </w:rPr>
        <w:t xml:space="preserve">12. ФЭС подписывается усиленной квалифицированной электронной подписью (далее - УКЭП) организации (лица, действующего от имени юридического лица без доверенности), индивидуального предпринимателя, лица, указанного в </w:t>
      </w:r>
      <w:hyperlink w:history="0" r:id="rId4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либо специального должностного лица, ответственного за реализацию правил внутреннего контроля организации, индивидуального предпринимателя, лица, указанного в </w:t>
      </w:r>
      <w:hyperlink w:history="0" r:id="rId4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действующего на основании документа, подтверждающего полномочия по использованию квалифицированной электронной подписи (доверенность).</w:t>
      </w:r>
    </w:p>
    <w:p>
      <w:pPr>
        <w:pStyle w:val="0"/>
        <w:spacing w:before="200" w:line-rule="auto"/>
        <w:ind w:firstLine="540"/>
        <w:jc w:val="both"/>
      </w:pPr>
      <w:r>
        <w:rPr>
          <w:sz w:val="20"/>
        </w:rPr>
        <w:t xml:space="preserve">В случае подписания ФЭС специальным должностным лицом от имени организации, индивидуального предпринимателя, лица, указанного в </w:t>
      </w:r>
      <w:hyperlink w:history="0" r:id="rId5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дополнительно предоставляется доверенность, подписанная УКЭП организации (лица, имеющего право действовать от имени юридического лица без доверенности), индивидуального предпринимателя, лица, указанного в </w:t>
      </w:r>
      <w:hyperlink w:history="0" r:id="rId5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w:t>
      </w:r>
    </w:p>
    <w:p>
      <w:pPr>
        <w:pStyle w:val="0"/>
        <w:jc w:val="both"/>
      </w:pPr>
      <w:r>
        <w:rPr>
          <w:sz w:val="20"/>
        </w:rPr>
        <w:t xml:space="preserve">(п. 12 в ред. </w:t>
      </w:r>
      <w:hyperlink w:history="0" r:id="rId52"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13. Направление ФЭС осуществляется организациями, индивидуальными предпринимателями, лицами, указанными в </w:t>
      </w:r>
      <w:hyperlink w:history="0" r:id="rId5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с использованием личного кабинета.</w:t>
      </w:r>
    </w:p>
    <w:p>
      <w:pPr>
        <w:pStyle w:val="0"/>
        <w:jc w:val="both"/>
      </w:pPr>
      <w:r>
        <w:rPr>
          <w:sz w:val="20"/>
        </w:rPr>
        <w:t xml:space="preserve">(в ред. </w:t>
      </w:r>
      <w:hyperlink w:history="0" r:id="rId54"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ФЭС может также направляться в Росфинмониторинг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w:history="0" r:id="rId55" w:tooltip="Постановление Правительства РФ от 08.06.2011 N 451 (ред. от 13.07.2022) &quo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КонсультантПлюс}">
        <w:r>
          <w:rPr>
            <w:sz w:val="20"/>
            <w:color w:val="0000ff"/>
          </w:rPr>
          <w:t xml:space="preserve">постановлением</w:t>
        </w:r>
      </w:hyperlink>
      <w:r>
        <w:rPr>
          <w:sz w:val="20"/>
        </w:rP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официальный интернет-портал правовой информации </w:t>
      </w:r>
      <w:r>
        <w:rPr>
          <w:sz w:val="20"/>
        </w:rPr>
        <w:t xml:space="preserve">http://pravo.gov.ru</w:t>
      </w:r>
      <w:r>
        <w:rPr>
          <w:sz w:val="20"/>
        </w:rPr>
        <w:t xml:space="preserve">, 27 декабря 2021 г., N 0001202112270054).</w:t>
      </w:r>
    </w:p>
    <w:bookmarkStart w:id="90" w:name="P90"/>
    <w:bookmarkEnd w:id="90"/>
    <w:p>
      <w:pPr>
        <w:pStyle w:val="0"/>
        <w:spacing w:before="200" w:line-rule="auto"/>
        <w:ind w:firstLine="540"/>
        <w:jc w:val="both"/>
      </w:pPr>
      <w:r>
        <w:rPr>
          <w:sz w:val="20"/>
        </w:rPr>
        <w:t xml:space="preserve">14. В случае невозможности представления ФЭС в Росфинмониторинг через личный кабинет до устранения причин, препятствующих представлению ФЭС, организация, индивидуальный предприниматель, лицо, указанное в </w:t>
      </w:r>
      <w:hyperlink w:history="0" r:id="rId5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представляет в Росфинмониторинг машинный (оптический или цифровой) носитель информации, содержащий ФЭС, с приложением сопроводительного письма на бумажном носителе (далее - сопроводительное письмо). ФЭС, размещаемое на машинном (оптическом или цифровом) носителе информации, не требует подписания УКЭП в соответствии с </w:t>
      </w:r>
      <w:hyperlink w:history="0" w:anchor="P84" w:tooltip="12. ФЭС подписывается усиленной квалифицированной электронной подписью (далее - УКЭП) организации (лица, действующего от имени юридического лица без доверенности), индивидуального предпринимателя, лица, указанного в статье 7.1 Федерального закона, либо специального должностного лица, ответственного за реализацию правил внутреннего контроля организации, индивидуального предпринимателя, лица, указанного в статье 7.1 Федерального закона, действующего на основании документа, подтверждающего полномочия по исп...">
        <w:r>
          <w:rPr>
            <w:sz w:val="20"/>
            <w:color w:val="0000ff"/>
          </w:rPr>
          <w:t xml:space="preserve">пунктом 12</w:t>
        </w:r>
      </w:hyperlink>
      <w:r>
        <w:rPr>
          <w:sz w:val="20"/>
        </w:rPr>
        <w:t xml:space="preserve"> настоящих Особенностей.</w:t>
      </w:r>
    </w:p>
    <w:p>
      <w:pPr>
        <w:pStyle w:val="0"/>
        <w:jc w:val="both"/>
      </w:pPr>
      <w:r>
        <w:rPr>
          <w:sz w:val="20"/>
        </w:rPr>
        <w:t xml:space="preserve">(в ред. </w:t>
      </w:r>
      <w:hyperlink w:history="0" r:id="rId57"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15. Сопроводительное письмо направляется в Росфинмониторинг нарочным или заказным почтовым отправлением с уведомлением о вручении. Сопроводительное письмо и машинный (оптический или цифровой) носитель информации помещаются в упаковку, исключающую возможность их повреждения или извлечения информации из них без нарушения целостности упаковки.</w:t>
      </w:r>
    </w:p>
    <w:p>
      <w:pPr>
        <w:pStyle w:val="0"/>
        <w:spacing w:before="200" w:line-rule="auto"/>
        <w:ind w:firstLine="540"/>
        <w:jc w:val="both"/>
      </w:pPr>
      <w:r>
        <w:rPr>
          <w:sz w:val="20"/>
        </w:rPr>
        <w:t xml:space="preserve">16. Сопроводительное письмо должно содержать следующую информацию:</w:t>
      </w:r>
    </w:p>
    <w:p>
      <w:pPr>
        <w:pStyle w:val="0"/>
        <w:spacing w:before="200" w:line-rule="auto"/>
        <w:ind w:firstLine="540"/>
        <w:jc w:val="both"/>
      </w:pPr>
      <w:r>
        <w:rPr>
          <w:sz w:val="20"/>
        </w:rPr>
        <w:t xml:space="preserve">а) наименование организации, юридического лица, оказывающего юридические или бухгалтерские услуги, международного личного фонда, аудиторской организации, фамилия, имя, отчество (при наличии) индивидуального предпринимателя, адвоката, нотариуса, доверительного собственника, лица, оказывающего юридические или бухгалтерские услуги, международного личного фонда, являющегося индивидуальным предпринимателем, лица, осуществляющего функции единоличного исполнительного органа международного личного фонда, индивидуального аудитора;</w:t>
      </w:r>
    </w:p>
    <w:p>
      <w:pPr>
        <w:pStyle w:val="0"/>
        <w:jc w:val="both"/>
      </w:pPr>
      <w:r>
        <w:rPr>
          <w:sz w:val="20"/>
        </w:rPr>
        <w:t xml:space="preserve">(в ред. </w:t>
      </w:r>
      <w:hyperlink w:history="0" r:id="rId58"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б) ИНН организации, индивидуального предпринимателя, лица, указанного в </w:t>
      </w:r>
      <w:hyperlink w:history="0" r:id="rId5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w:t>
      </w:r>
    </w:p>
    <w:p>
      <w:pPr>
        <w:pStyle w:val="0"/>
        <w:jc w:val="both"/>
      </w:pPr>
      <w:r>
        <w:rPr>
          <w:sz w:val="20"/>
        </w:rPr>
        <w:t xml:space="preserve">(в ред. </w:t>
      </w:r>
      <w:hyperlink w:history="0" r:id="rId60"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в) почтовый адрес организации, индивидуального предпринимателя, лица, указанного в </w:t>
      </w:r>
      <w:hyperlink w:history="0" r:id="rId6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w:t>
      </w:r>
    </w:p>
    <w:p>
      <w:pPr>
        <w:pStyle w:val="0"/>
        <w:jc w:val="both"/>
      </w:pPr>
      <w:r>
        <w:rPr>
          <w:sz w:val="20"/>
        </w:rPr>
        <w:t xml:space="preserve">(в ред. </w:t>
      </w:r>
      <w:hyperlink w:history="0" r:id="rId62"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г) контактный телефон организации, индивидуального предпринимателя, лица, указанного в </w:t>
      </w:r>
      <w:hyperlink w:history="0" r:id="rId6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w:t>
      </w:r>
    </w:p>
    <w:p>
      <w:pPr>
        <w:pStyle w:val="0"/>
        <w:jc w:val="both"/>
      </w:pPr>
      <w:r>
        <w:rPr>
          <w:sz w:val="20"/>
        </w:rPr>
        <w:t xml:space="preserve">(в ред. </w:t>
      </w:r>
      <w:hyperlink w:history="0" r:id="rId64"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д) фамилия, имя, отчество (при наличии) и подпись руководителя организации либо специального должностного лица, ответственного за реализацию правил внутреннего контроля организации, индивидуального предпринимателя, лица, указанного в </w:t>
      </w:r>
      <w:hyperlink w:history="0" r:id="rId6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w:t>
      </w:r>
    </w:p>
    <w:p>
      <w:pPr>
        <w:pStyle w:val="0"/>
        <w:jc w:val="both"/>
      </w:pPr>
      <w:r>
        <w:rPr>
          <w:sz w:val="20"/>
        </w:rPr>
        <w:t xml:space="preserve">(в ред. </w:t>
      </w:r>
      <w:hyperlink w:history="0" r:id="rId66"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bookmarkStart w:id="104" w:name="P104"/>
    <w:bookmarkEnd w:id="104"/>
    <w:p>
      <w:pPr>
        <w:pStyle w:val="0"/>
        <w:spacing w:before="200" w:line-rule="auto"/>
        <w:ind w:firstLine="540"/>
        <w:jc w:val="both"/>
      </w:pPr>
      <w:r>
        <w:rPr>
          <w:sz w:val="20"/>
        </w:rPr>
        <w:t xml:space="preserve">17. При получении ФЭС Росфинмониторинг не позднее 3 рабочих дней, следующих за днем получения ФЭС, осуществляет проверку УКЭП лица, подписавшего ФЭС, включающую идентификацию его отправителя, проверку целостности ФЭС и форматно-логический контроль ФЭС в целях проверки соответствия требованиям, определенным согласно </w:t>
      </w:r>
      <w:hyperlink w:history="0" w:anchor="P70" w:tooltip="7. Информация, указанная в пунктах 3 - 6 настоящих Особенностей, направляется в Росфинмониторинг в виде файла формата XML в кодировке UTF-8 &lt;1&gt; (далее - формализованное электронное сообщение, ФЭС).">
        <w:r>
          <w:rPr>
            <w:sz w:val="20"/>
            <w:color w:val="0000ff"/>
          </w:rPr>
          <w:t xml:space="preserve">пунктам 7</w:t>
        </w:r>
      </w:hyperlink>
      <w:r>
        <w:rPr>
          <w:sz w:val="20"/>
        </w:rPr>
        <w:t xml:space="preserve"> - </w:t>
      </w:r>
      <w:hyperlink w:history="0" w:anchor="P75" w:tooltip="9. Описание структур наименования, служебной и информационной частей ФЭС размещается на официальном сайте Росфинмониторинга в информационно-телекоммуникационной сети &quot;Интернет&quot; по адресу www.fedsfm.ru (далее - официальный сайт Росфинмониторинга) в разделе &quot;Документы Росфинмониторинга&quot;.">
        <w:r>
          <w:rPr>
            <w:sz w:val="20"/>
            <w:color w:val="0000ff"/>
          </w:rPr>
          <w:t xml:space="preserve">9</w:t>
        </w:r>
      </w:hyperlink>
      <w:r>
        <w:rPr>
          <w:sz w:val="20"/>
        </w:rPr>
        <w:t xml:space="preserve">, </w:t>
      </w:r>
      <w:hyperlink w:history="0" w:anchor="P80" w:tooltip="11.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 отношении информации, указанной в подпункте &quot;б&quot; пункта 3, пунктах 4 - 6 настоящих Особенностей, организации, индивидуальные предприниматели, лица, указанные в статье 7.1 Федерального закона, используют перечень признаков, указывающих на необычный характер операций (сделок), приведенный в приложении к настоящим Особенностям, ...">
        <w:r>
          <w:rPr>
            <w:sz w:val="20"/>
            <w:color w:val="0000ff"/>
          </w:rPr>
          <w:t xml:space="preserve">11</w:t>
        </w:r>
      </w:hyperlink>
      <w:r>
        <w:rPr>
          <w:sz w:val="20"/>
        </w:rPr>
        <w:t xml:space="preserve">, </w:t>
      </w:r>
      <w:hyperlink w:history="0" w:anchor="P84" w:tooltip="12. ФЭС подписывается усиленной квалифицированной электронной подписью (далее - УКЭП) организации (лица, действующего от имени юридического лица без доверенности), индивидуального предпринимателя, лица, указанного в статье 7.1 Федерального закона, либо специального должностного лица, ответственного за реализацию правил внутреннего контроля организации, индивидуального предпринимателя, лица, указанного в статье 7.1 Федерального закона, действующего на основании документа, подтверждающего полномочия по исп...">
        <w:r>
          <w:rPr>
            <w:sz w:val="20"/>
            <w:color w:val="0000ff"/>
          </w:rPr>
          <w:t xml:space="preserve">12</w:t>
        </w:r>
      </w:hyperlink>
      <w:r>
        <w:rPr>
          <w:sz w:val="20"/>
        </w:rPr>
        <w:t xml:space="preserve"> настоящих Особенностей (далее - процедуры проверки). Информация о получении ФЭС Росфинмониторингом размещается в личном кабинете.</w:t>
      </w:r>
    </w:p>
    <w:p>
      <w:pPr>
        <w:pStyle w:val="0"/>
        <w:spacing w:before="200" w:line-rule="auto"/>
        <w:ind w:firstLine="540"/>
        <w:jc w:val="both"/>
      </w:pPr>
      <w:r>
        <w:rPr>
          <w:sz w:val="20"/>
        </w:rPr>
        <w:t xml:space="preserve">18. По результатам процедур проверки полученного ФЭС Росфинмониторинг в сроки, указанные в </w:t>
      </w:r>
      <w:hyperlink w:history="0" w:anchor="P104" w:tooltip="17. При получении ФЭС Росфинмониторинг не позднее 3 рабочих дней, следующих за днем получения ФЭС, осуществляет проверку УКЭП лица, подписавшего ФЭС, включающую идентификацию его отправителя, проверку целостности ФЭС и форматно-логический контроль ФЭС в целях проверки соответствия требованиям, определенным согласно пунктам 7 - 9, 11, 12 настоящих Особенностей (далее - процедуры проверки). Информация о получении ФЭС Росфинмониторингом размещается в личном кабинете.">
        <w:r>
          <w:rPr>
            <w:sz w:val="20"/>
            <w:color w:val="0000ff"/>
          </w:rPr>
          <w:t xml:space="preserve">пункте 17</w:t>
        </w:r>
      </w:hyperlink>
      <w:r>
        <w:rPr>
          <w:sz w:val="20"/>
        </w:rPr>
        <w:t xml:space="preserve"> настоящих Особенностей, формирует и размещает в личном кабинете квитанцию о принятии сведений, входящих в состав ФЭС (далее - квитанция о принятии ФЭС), или квитанцию о непринятии сведений, входящих в состав ФЭС (далее - квитанция о непринятии ФЭС).</w:t>
      </w:r>
    </w:p>
    <w:p>
      <w:pPr>
        <w:pStyle w:val="0"/>
        <w:spacing w:before="200" w:line-rule="auto"/>
        <w:ind w:firstLine="540"/>
        <w:jc w:val="both"/>
      </w:pPr>
      <w:r>
        <w:rPr>
          <w:sz w:val="20"/>
        </w:rPr>
        <w:t xml:space="preserve">19. При формировании квитанций о принятии (непринятии) ФЭС Росфинмониторинг руководствуется требованиями к технологическим электронным документам, включающими требования к их наименованию, структуре и размеру, размещенными на официальном сайте Росфинмониторинга в разделе "Документы Росфинмониторинга".</w:t>
      </w:r>
    </w:p>
    <w:p>
      <w:pPr>
        <w:pStyle w:val="0"/>
        <w:spacing w:before="200" w:line-rule="auto"/>
        <w:ind w:firstLine="540"/>
        <w:jc w:val="both"/>
      </w:pPr>
      <w:r>
        <w:rPr>
          <w:sz w:val="20"/>
        </w:rPr>
        <w:t xml:space="preserve">20. Росфинмониторинг отказывает в приеме ФЭС в следующих случаях:</w:t>
      </w:r>
    </w:p>
    <w:p>
      <w:pPr>
        <w:pStyle w:val="0"/>
        <w:spacing w:before="200" w:line-rule="auto"/>
        <w:ind w:firstLine="540"/>
        <w:jc w:val="both"/>
      </w:pPr>
      <w:r>
        <w:rPr>
          <w:sz w:val="20"/>
        </w:rPr>
        <w:t xml:space="preserve">а) нарушение целостности ФЭС;</w:t>
      </w:r>
    </w:p>
    <w:p>
      <w:pPr>
        <w:pStyle w:val="0"/>
        <w:spacing w:before="200" w:line-rule="auto"/>
        <w:ind w:firstLine="540"/>
        <w:jc w:val="both"/>
      </w:pPr>
      <w:r>
        <w:rPr>
          <w:sz w:val="20"/>
        </w:rPr>
        <w:t xml:space="preserve">б) ФЭС не подписано УКЭП или такая подпись недостоверна (кроме случая, указанного в </w:t>
      </w:r>
      <w:hyperlink w:history="0" w:anchor="P90" w:tooltip="14. В случае невозможности представления ФЭС в Росфинмониторинг через личный кабинет до устранения причин, препятствующих представлению ФЭС, организация, индивидуальный предприниматель, лицо, указанное в статье 7.1 Федерального закона, представляет в Росфинмониторинг машинный (оптический или цифровой) носитель информации, содержащий ФЭС, с приложением сопроводительного письма на бумажном носителе (далее - сопроводительное письмо). ФЭС, размещаемое на машинном (оптическом или цифровом) носителе информации...">
        <w:r>
          <w:rPr>
            <w:sz w:val="20"/>
            <w:color w:val="0000ff"/>
          </w:rPr>
          <w:t xml:space="preserve">пункте 14</w:t>
        </w:r>
      </w:hyperlink>
      <w:r>
        <w:rPr>
          <w:sz w:val="20"/>
        </w:rPr>
        <w:t xml:space="preserve"> настоящих Особенностей);</w:t>
      </w:r>
    </w:p>
    <w:p>
      <w:pPr>
        <w:pStyle w:val="0"/>
        <w:spacing w:before="200" w:line-rule="auto"/>
        <w:ind w:firstLine="540"/>
        <w:jc w:val="both"/>
      </w:pPr>
      <w:r>
        <w:rPr>
          <w:sz w:val="20"/>
        </w:rPr>
        <w:t xml:space="preserve">в) несоответствие ФЭС требованиям форматно-логического контроля, указанного в </w:t>
      </w:r>
      <w:hyperlink w:history="0" w:anchor="P104" w:tooltip="17. При получении ФЭС Росфинмониторинг не позднее 3 рабочих дней, следующих за днем получения ФЭС, осуществляет проверку УКЭП лица, подписавшего ФЭС, включающую идентификацию его отправителя, проверку целостности ФЭС и форматно-логический контроль ФЭС в целях проверки соответствия требованиям, определенным согласно пунктам 7 - 9, 11, 12 настоящих Особенностей (далее - процедуры проверки). Информация о получении ФЭС Росфинмониторингом размещается в личном кабинете.">
        <w:r>
          <w:rPr>
            <w:sz w:val="20"/>
            <w:color w:val="0000ff"/>
          </w:rPr>
          <w:t xml:space="preserve">пункте 17</w:t>
        </w:r>
      </w:hyperlink>
      <w:r>
        <w:rPr>
          <w:sz w:val="20"/>
        </w:rPr>
        <w:t xml:space="preserve"> настоящих Особенностей.</w:t>
      </w:r>
    </w:p>
    <w:p>
      <w:pPr>
        <w:pStyle w:val="0"/>
        <w:spacing w:before="200" w:line-rule="auto"/>
        <w:ind w:firstLine="540"/>
        <w:jc w:val="both"/>
      </w:pPr>
      <w:r>
        <w:rPr>
          <w:sz w:val="20"/>
        </w:rPr>
        <w:t xml:space="preserve">21. В случае получения квитанции о непринятии ФЭС организация, индивидуальный предприниматель, лицо, указанное в </w:t>
      </w:r>
      <w:hyperlink w:history="0" r:id="rId6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принимают меры по устранению причин непринятия ФЭС, указанных в квитанции о непринятии ФЭС, повторно формируют ФЭС и не позднее 3 рабочих дней, следующих за днем размещения квитанции о непринятии ФЭС в личном кабинете, направляют повторно сформированное ФЭС в Росфинмониторинг в порядке, установленном настоящими Особенностями.</w:t>
      </w:r>
    </w:p>
    <w:p>
      <w:pPr>
        <w:pStyle w:val="0"/>
        <w:jc w:val="both"/>
      </w:pPr>
      <w:r>
        <w:rPr>
          <w:sz w:val="20"/>
        </w:rPr>
        <w:t xml:space="preserve">(в ред. </w:t>
      </w:r>
      <w:hyperlink w:history="0" r:id="rId68"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22. В случае неполучения от Росфинмониторинга квитанции о принятии (непринятии) ФЭС по истечении 3 рабочих дней, следующих за днем получения Росфинмониторингом ФЭС, организация, индивидуальный предприниматель, лицо, указанное в </w:t>
      </w:r>
      <w:hyperlink w:history="0" r:id="rId6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вправе направить в Росфинмониторинг запрос для выяснения причин отсутствия в личном кабинете квитанции о принятии (непринятии) ФЭС.</w:t>
      </w:r>
    </w:p>
    <w:p>
      <w:pPr>
        <w:pStyle w:val="0"/>
        <w:jc w:val="both"/>
      </w:pPr>
      <w:r>
        <w:rPr>
          <w:sz w:val="20"/>
        </w:rPr>
        <w:t xml:space="preserve">(в ред. </w:t>
      </w:r>
      <w:hyperlink w:history="0" r:id="rId70"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23. Для инициативного внесения изменений в ранее принятое Росфинмониторингом ФЭС организация, индивидуальный предприниматель, лицо, указанное в </w:t>
      </w:r>
      <w:hyperlink w:history="0" r:id="rId7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формируют и направляют заменяющее ФЭС в соответствии с процедурой направления ФЭС, установленной настоящими Особенностями, не позднее 3 рабочих дней, следующих за днем выявления фактов (обстоятельств), повлекших (потребовавших) внесение изменений в ранее представленную и принятую Росфинмониторингом информацию.</w:t>
      </w:r>
    </w:p>
    <w:p>
      <w:pPr>
        <w:pStyle w:val="0"/>
        <w:jc w:val="both"/>
      </w:pPr>
      <w:r>
        <w:rPr>
          <w:sz w:val="20"/>
        </w:rPr>
        <w:t xml:space="preserve">(в ред. </w:t>
      </w:r>
      <w:hyperlink w:history="0" r:id="rId72"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24. Датой представления в Росфинмониторинг ФЭС является дата направления ФЭС в Росфинмониторинг, включенная Росфинмониторингом в квитанцию о принятии ФЭС.</w:t>
      </w:r>
    </w:p>
    <w:p>
      <w:pPr>
        <w:pStyle w:val="0"/>
        <w:spacing w:before="200" w:line-rule="auto"/>
        <w:ind w:firstLine="540"/>
        <w:jc w:val="both"/>
      </w:pPr>
      <w:r>
        <w:rPr>
          <w:sz w:val="20"/>
        </w:rPr>
        <w:t xml:space="preserve">25. Размещенные на официальном сайте Росфинмониторинга описание структур наименования, служебной и информационной частей ФЭС, описание кодов признаков, указывающих на необычный характер операций (сделок), и требования к технологическим электронным документам применяются организациями, индивидуальными предпринимателями, лицами, указанными в </w:t>
      </w:r>
      <w:hyperlink w:history="0" r:id="rId7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по истечении 30 календарных дней со дня их размещения на официальном сайте Росфинмониторинга.</w:t>
      </w:r>
    </w:p>
    <w:p>
      <w:pPr>
        <w:pStyle w:val="0"/>
        <w:jc w:val="both"/>
      </w:pPr>
      <w:r>
        <w:rPr>
          <w:sz w:val="20"/>
        </w:rPr>
        <w:t xml:space="preserve">(в ред. </w:t>
      </w:r>
      <w:hyperlink w:history="0" r:id="rId74"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26. Изменения в описании структур наименования, служебной и информационной частей ФЭС и описании кодов признаков, указывающих на необычный характер операций (сделок), применяются организациями, индивидуальными предпринимателями, лицами, указанными в </w:t>
      </w:r>
      <w:hyperlink w:history="0" r:id="rId7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по истечении не менее 10 календарных дней со дня их размещения на официальном сайте Росфинмониторинга, если иное не предусмотрено иными нормативными правовыми актами, регламентирующими представление информации, указанной в </w:t>
      </w:r>
      <w:hyperlink w:history="0" w:anchor="P57" w:tooltip="3. Организации и индивидуальные предприниматели представляют в Росфинмониторинг следующую информацию:">
        <w:r>
          <w:rPr>
            <w:sz w:val="20"/>
            <w:color w:val="0000ff"/>
          </w:rPr>
          <w:t xml:space="preserve">пунктах 3</w:t>
        </w:r>
      </w:hyperlink>
      <w:r>
        <w:rPr>
          <w:sz w:val="20"/>
        </w:rPr>
        <w:t xml:space="preserve"> - </w:t>
      </w:r>
      <w:hyperlink w:history="0" w:anchor="P69" w:tooltip="6. Аудиторы представляют в Росфинмониторинг информацию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 в течение 3 рабочих дней, следующих за днем выявления указанной сделки или финансовой операции.">
        <w:r>
          <w:rPr>
            <w:sz w:val="20"/>
            <w:color w:val="0000ff"/>
          </w:rPr>
          <w:t xml:space="preserve">6</w:t>
        </w:r>
      </w:hyperlink>
      <w:r>
        <w:rPr>
          <w:sz w:val="20"/>
        </w:rPr>
        <w:t xml:space="preserve"> настоящих Особенностей.</w:t>
      </w:r>
    </w:p>
    <w:p>
      <w:pPr>
        <w:pStyle w:val="0"/>
        <w:jc w:val="both"/>
      </w:pPr>
      <w:r>
        <w:rPr>
          <w:sz w:val="20"/>
        </w:rPr>
        <w:t xml:space="preserve">(в ред. </w:t>
      </w:r>
      <w:hyperlink w:history="0" r:id="rId76"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Особенностям</w:t>
      </w:r>
    </w:p>
    <w:p>
      <w:pPr>
        <w:pStyle w:val="0"/>
        <w:jc w:val="right"/>
      </w:pPr>
      <w:r>
        <w:rPr>
          <w:sz w:val="20"/>
        </w:rPr>
        <w:t xml:space="preserve">представления в Федеральную службу</w:t>
      </w:r>
    </w:p>
    <w:p>
      <w:pPr>
        <w:pStyle w:val="0"/>
        <w:jc w:val="right"/>
      </w:pPr>
      <w:r>
        <w:rPr>
          <w:sz w:val="20"/>
        </w:rPr>
        <w:t xml:space="preserve">по финансовому мониторингу информации,</w:t>
      </w:r>
    </w:p>
    <w:p>
      <w:pPr>
        <w:pStyle w:val="0"/>
        <w:jc w:val="right"/>
      </w:pPr>
      <w:r>
        <w:rPr>
          <w:sz w:val="20"/>
        </w:rPr>
        <w:t xml:space="preserve">предусмотренной Федеральным законом</w:t>
      </w:r>
    </w:p>
    <w:p>
      <w:pPr>
        <w:pStyle w:val="0"/>
        <w:jc w:val="right"/>
      </w:pPr>
      <w:r>
        <w:rPr>
          <w:sz w:val="20"/>
        </w:rPr>
        <w:t xml:space="preserve">от 7 августа 2001 г. N 115-ФЗ</w:t>
      </w:r>
    </w:p>
    <w:p>
      <w:pPr>
        <w:pStyle w:val="0"/>
        <w:jc w:val="right"/>
      </w:pPr>
      <w:r>
        <w:rPr>
          <w:sz w:val="20"/>
        </w:rPr>
        <w:t xml:space="preserve">"О противодействии легализации</w:t>
      </w:r>
    </w:p>
    <w:p>
      <w:pPr>
        <w:pStyle w:val="0"/>
        <w:jc w:val="right"/>
      </w:pPr>
      <w:r>
        <w:rPr>
          <w:sz w:val="20"/>
        </w:rPr>
        <w:t xml:space="preserve">(отмыванию) доходов, полученных</w:t>
      </w:r>
    </w:p>
    <w:p>
      <w:pPr>
        <w:pStyle w:val="0"/>
        <w:jc w:val="right"/>
      </w:pPr>
      <w:r>
        <w:rPr>
          <w:sz w:val="20"/>
        </w:rPr>
        <w:t xml:space="preserve">преступным путем, и финансированию</w:t>
      </w:r>
    </w:p>
    <w:p>
      <w:pPr>
        <w:pStyle w:val="0"/>
        <w:jc w:val="right"/>
      </w:pPr>
      <w:r>
        <w:rPr>
          <w:sz w:val="20"/>
        </w:rPr>
        <w:t xml:space="preserve">терроризма", утвержденным</w:t>
      </w:r>
    </w:p>
    <w:p>
      <w:pPr>
        <w:pStyle w:val="0"/>
        <w:jc w:val="right"/>
      </w:pPr>
      <w:r>
        <w:rPr>
          <w:sz w:val="20"/>
        </w:rPr>
        <w:t xml:space="preserve">приказом Росфинмониторинга</w:t>
      </w:r>
    </w:p>
    <w:p>
      <w:pPr>
        <w:pStyle w:val="0"/>
        <w:jc w:val="right"/>
      </w:pPr>
      <w:r>
        <w:rPr>
          <w:sz w:val="20"/>
        </w:rPr>
        <w:t xml:space="preserve">от 08.02.2022 N 18</w:t>
      </w:r>
    </w:p>
    <w:p>
      <w:pPr>
        <w:pStyle w:val="0"/>
        <w:jc w:val="both"/>
      </w:pPr>
      <w:r>
        <w:rPr>
          <w:sz w:val="20"/>
        </w:rPr>
      </w:r>
    </w:p>
    <w:bookmarkStart w:id="140" w:name="P140"/>
    <w:bookmarkEnd w:id="140"/>
    <w:p>
      <w:pPr>
        <w:pStyle w:val="2"/>
        <w:jc w:val="center"/>
      </w:pPr>
      <w:r>
        <w:rPr>
          <w:sz w:val="20"/>
        </w:rPr>
        <w:t xml:space="preserve">ПЕРЕЧЕНЬ</w:t>
      </w:r>
    </w:p>
    <w:p>
      <w:pPr>
        <w:pStyle w:val="2"/>
        <w:jc w:val="center"/>
      </w:pPr>
      <w:r>
        <w:rPr>
          <w:sz w:val="20"/>
        </w:rPr>
        <w:t xml:space="preserve">ПРИЗНАКОВ, УКАЗЫВАЮЩИХ НА НЕОБЫЧНЫЙ ХАРАКТЕР</w:t>
      </w:r>
    </w:p>
    <w:p>
      <w:pPr>
        <w:pStyle w:val="2"/>
        <w:jc w:val="center"/>
      </w:pPr>
      <w:r>
        <w:rPr>
          <w:sz w:val="20"/>
        </w:rPr>
        <w:t xml:space="preserve">ОПЕРАЦИЙ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color w:val="392c69"/>
              </w:rPr>
              <w:t xml:space="preserve"> Росфинмониторинга от 26.08.2022 N 182)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4"/>
      </w:tblGrid>
      <w:tr>
        <w:tc>
          <w:tcPr>
            <w:tcW w:w="1247" w:type="dxa"/>
          </w:tcPr>
          <w:p>
            <w:pPr>
              <w:pStyle w:val="0"/>
              <w:jc w:val="center"/>
            </w:pPr>
            <w:r>
              <w:rPr>
                <w:sz w:val="20"/>
              </w:rPr>
              <w:t xml:space="preserve">Код перечня признаков</w:t>
            </w:r>
          </w:p>
        </w:tc>
        <w:tc>
          <w:tcPr>
            <w:tcW w:w="7824" w:type="dxa"/>
          </w:tcPr>
          <w:p>
            <w:pPr>
              <w:pStyle w:val="0"/>
              <w:jc w:val="center"/>
            </w:pPr>
            <w:r>
              <w:rPr>
                <w:sz w:val="20"/>
              </w:rPr>
              <w:t xml:space="preserve">Перечень признаков, указывающих на необычный характер операций (сделок)</w:t>
            </w:r>
          </w:p>
        </w:tc>
      </w:tr>
      <w:tr>
        <w:tc>
          <w:tcPr>
            <w:tcW w:w="1247" w:type="dxa"/>
          </w:tcPr>
          <w:bookmarkStart w:id="148" w:name="P148"/>
          <w:bookmarkEnd w:id="148"/>
          <w:p>
            <w:pPr>
              <w:pStyle w:val="0"/>
              <w:jc w:val="center"/>
            </w:pPr>
            <w:r>
              <w:rPr>
                <w:sz w:val="20"/>
              </w:rPr>
              <w:t xml:space="preserve">11</w:t>
            </w:r>
          </w:p>
        </w:tc>
        <w:tc>
          <w:tcPr>
            <w:tcW w:w="7824" w:type="dxa"/>
          </w:tcPr>
          <w:p>
            <w:pPr>
              <w:pStyle w:val="0"/>
              <w:jc w:val="both"/>
            </w:pPr>
            <w:r>
              <w:rPr>
                <w:sz w:val="20"/>
              </w:rPr>
              <w:t xml:space="preserve">Общие признаки необычных операций (сделок)</w:t>
            </w:r>
          </w:p>
        </w:tc>
      </w:tr>
      <w:tr>
        <w:tc>
          <w:tcPr>
            <w:tcW w:w="1247" w:type="dxa"/>
          </w:tcPr>
          <w:p>
            <w:pPr>
              <w:pStyle w:val="0"/>
              <w:jc w:val="center"/>
            </w:pPr>
            <w:r>
              <w:rPr>
                <w:sz w:val="20"/>
              </w:rPr>
              <w:t xml:space="preserve">12</w:t>
            </w:r>
          </w:p>
        </w:tc>
        <w:tc>
          <w:tcPr>
            <w:tcW w:w="7824" w:type="dxa"/>
          </w:tcPr>
          <w:p>
            <w:pPr>
              <w:pStyle w:val="0"/>
              <w:jc w:val="both"/>
            </w:pPr>
            <w:r>
              <w:rPr>
                <w:sz w:val="20"/>
              </w:rPr>
              <w:t xml:space="preserve">Признаки необычных операций (сделок) с использованием бюджетных средств</w:t>
            </w:r>
          </w:p>
        </w:tc>
      </w:tr>
      <w:tr>
        <w:tc>
          <w:tcPr>
            <w:tcW w:w="1247" w:type="dxa"/>
          </w:tcPr>
          <w:p>
            <w:pPr>
              <w:pStyle w:val="0"/>
              <w:jc w:val="center"/>
            </w:pPr>
            <w:r>
              <w:rPr>
                <w:sz w:val="20"/>
              </w:rPr>
              <w:t xml:space="preserve">13</w:t>
            </w:r>
          </w:p>
        </w:tc>
        <w:tc>
          <w:tcPr>
            <w:tcW w:w="7824" w:type="dxa"/>
          </w:tcPr>
          <w:p>
            <w:pPr>
              <w:pStyle w:val="0"/>
              <w:jc w:val="both"/>
            </w:pPr>
            <w:r>
              <w:rPr>
                <w:sz w:val="20"/>
              </w:rPr>
              <w:t xml:space="preserve">Признаки необычных операций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tc>
          <w:tcPr>
            <w:tcW w:w="1247" w:type="dxa"/>
          </w:tcPr>
          <w:p>
            <w:pPr>
              <w:pStyle w:val="0"/>
              <w:jc w:val="center"/>
            </w:pPr>
            <w:r>
              <w:rPr>
                <w:sz w:val="20"/>
              </w:rPr>
              <w:t xml:space="preserve">14</w:t>
            </w:r>
          </w:p>
        </w:tc>
        <w:tc>
          <w:tcPr>
            <w:tcW w:w="7824" w:type="dxa"/>
          </w:tcPr>
          <w:p>
            <w:pPr>
              <w:pStyle w:val="0"/>
              <w:jc w:val="both"/>
            </w:pPr>
            <w:r>
              <w:rPr>
                <w:sz w:val="20"/>
              </w:rPr>
              <w:t xml:space="preserve">Признаки необычных операций (сделок) при проведении операций с денежными средствами или иным имуществом в наличной форме и переводов денежных средств</w:t>
            </w:r>
          </w:p>
        </w:tc>
      </w:tr>
      <w:tr>
        <w:tc>
          <w:tcPr>
            <w:tcW w:w="1247" w:type="dxa"/>
          </w:tcPr>
          <w:p>
            <w:pPr>
              <w:pStyle w:val="0"/>
              <w:jc w:val="center"/>
            </w:pPr>
            <w:r>
              <w:rPr>
                <w:sz w:val="20"/>
              </w:rPr>
              <w:t xml:space="preserve">15</w:t>
            </w:r>
          </w:p>
        </w:tc>
        <w:tc>
          <w:tcPr>
            <w:tcW w:w="7824" w:type="dxa"/>
          </w:tcPr>
          <w:p>
            <w:pPr>
              <w:pStyle w:val="0"/>
              <w:jc w:val="both"/>
            </w:pPr>
            <w:r>
              <w:rPr>
                <w:sz w:val="20"/>
              </w:rPr>
              <w:t xml:space="preserve">Признаки необычных операций (сделок) при проведении операций по договорам займа</w:t>
            </w:r>
          </w:p>
        </w:tc>
      </w:tr>
      <w:tr>
        <w:tc>
          <w:tcPr>
            <w:tcW w:w="1247" w:type="dxa"/>
          </w:tcPr>
          <w:p>
            <w:pPr>
              <w:pStyle w:val="0"/>
              <w:jc w:val="center"/>
            </w:pPr>
            <w:r>
              <w:rPr>
                <w:sz w:val="20"/>
              </w:rPr>
              <w:t xml:space="preserve">18</w:t>
            </w:r>
          </w:p>
        </w:tc>
        <w:tc>
          <w:tcPr>
            <w:tcW w:w="7824" w:type="dxa"/>
          </w:tcPr>
          <w:p>
            <w:pPr>
              <w:pStyle w:val="0"/>
              <w:jc w:val="both"/>
            </w:pPr>
            <w:r>
              <w:rPr>
                <w:sz w:val="20"/>
              </w:rPr>
              <w:t xml:space="preserve">Признаки необычных операций (сделок) при проведении международных расчетов</w:t>
            </w:r>
          </w:p>
        </w:tc>
      </w:tr>
      <w:tr>
        <w:tc>
          <w:tcPr>
            <w:tcW w:w="1247" w:type="dxa"/>
          </w:tcPr>
          <w:p>
            <w:pPr>
              <w:pStyle w:val="0"/>
              <w:jc w:val="center"/>
            </w:pPr>
            <w:r>
              <w:rPr>
                <w:sz w:val="20"/>
              </w:rPr>
              <w:t xml:space="preserve">19</w:t>
            </w:r>
          </w:p>
        </w:tc>
        <w:tc>
          <w:tcPr>
            <w:tcW w:w="7824" w:type="dxa"/>
          </w:tcPr>
          <w:p>
            <w:pPr>
              <w:pStyle w:val="0"/>
              <w:jc w:val="both"/>
            </w:pPr>
            <w:r>
              <w:rPr>
                <w:sz w:val="20"/>
              </w:rPr>
              <w:t xml:space="preserve">Признаки необычных операций (сделок) при проведении операций с ценными бумагами и производными финансовыми инструментами</w:t>
            </w:r>
          </w:p>
        </w:tc>
      </w:tr>
      <w:tr>
        <w:tc>
          <w:tcPr>
            <w:tcW w:w="1247" w:type="dxa"/>
          </w:tcPr>
          <w:bookmarkStart w:id="162" w:name="P162"/>
          <w:bookmarkEnd w:id="162"/>
          <w:p>
            <w:pPr>
              <w:pStyle w:val="0"/>
              <w:jc w:val="center"/>
            </w:pPr>
            <w:r>
              <w:rPr>
                <w:sz w:val="20"/>
              </w:rPr>
              <w:t xml:space="preserve">22</w:t>
            </w:r>
          </w:p>
        </w:tc>
        <w:tc>
          <w:tcPr>
            <w:tcW w:w="7824" w:type="dxa"/>
          </w:tcPr>
          <w:p>
            <w:pPr>
              <w:pStyle w:val="0"/>
              <w:jc w:val="both"/>
            </w:pPr>
            <w:r>
              <w:rPr>
                <w:sz w:val="20"/>
              </w:rPr>
              <w:t xml:space="preserve">Признаки необычных операций (сделок), свидетельствующих о возможном финансировании терроризма</w:t>
            </w:r>
          </w:p>
        </w:tc>
      </w:tr>
      <w:tr>
        <w:tc>
          <w:tcPr>
            <w:tcW w:w="1247" w:type="dxa"/>
          </w:tcPr>
          <w:bookmarkStart w:id="164" w:name="P164"/>
          <w:bookmarkEnd w:id="164"/>
          <w:p>
            <w:pPr>
              <w:pStyle w:val="0"/>
              <w:jc w:val="center"/>
            </w:pPr>
            <w:r>
              <w:rPr>
                <w:sz w:val="20"/>
              </w:rPr>
              <w:t xml:space="preserve">34</w:t>
            </w:r>
          </w:p>
        </w:tc>
        <w:tc>
          <w:tcPr>
            <w:tcW w:w="7824" w:type="dxa"/>
          </w:tcPr>
          <w:p>
            <w:pPr>
              <w:pStyle w:val="0"/>
              <w:jc w:val="both"/>
            </w:pPr>
            <w:r>
              <w:rPr>
                <w:sz w:val="20"/>
              </w:rPr>
              <w:t xml:space="preserve">Признаки необычных операций (сделок), выявляемые при осуществлении лизинговой деятельности</w:t>
            </w:r>
          </w:p>
        </w:tc>
      </w:tr>
      <w:tr>
        <w:tc>
          <w:tcPr>
            <w:tcW w:w="1247" w:type="dxa"/>
          </w:tcPr>
          <w:p>
            <w:pPr>
              <w:pStyle w:val="0"/>
              <w:jc w:val="center"/>
            </w:pPr>
            <w:r>
              <w:rPr>
                <w:sz w:val="20"/>
              </w:rPr>
              <w:t xml:space="preserve">35</w:t>
            </w:r>
          </w:p>
        </w:tc>
        <w:tc>
          <w:tcPr>
            <w:tcW w:w="7824" w:type="dxa"/>
          </w:tcPr>
          <w:p>
            <w:pPr>
              <w:pStyle w:val="0"/>
              <w:jc w:val="both"/>
            </w:pPr>
            <w:r>
              <w:rPr>
                <w:sz w:val="20"/>
              </w:rPr>
              <w:t xml:space="preserve">Признаки необычных операций (сделок), выявляемые при оказании посреднических услуг при осуществлении сделок купли-продажи недвижимого имущества</w:t>
            </w:r>
          </w:p>
        </w:tc>
      </w:tr>
      <w:tr>
        <w:tc>
          <w:tcPr>
            <w:tcW w:w="1247" w:type="dxa"/>
          </w:tcPr>
          <w:p>
            <w:pPr>
              <w:pStyle w:val="0"/>
              <w:jc w:val="center"/>
            </w:pPr>
            <w:r>
              <w:rPr>
                <w:sz w:val="20"/>
              </w:rPr>
              <w:t xml:space="preserve">36</w:t>
            </w:r>
          </w:p>
        </w:tc>
        <w:tc>
          <w:tcPr>
            <w:tcW w:w="7824" w:type="dxa"/>
          </w:tcPr>
          <w:p>
            <w:pPr>
              <w:pStyle w:val="0"/>
              <w:jc w:val="both"/>
            </w:pPr>
            <w:r>
              <w:rPr>
                <w:sz w:val="20"/>
              </w:rPr>
              <w:t xml:space="preserve">Признаки необычных операций (сделок), выявляемые при осуществлении деятельности организаторов азартных игр и операторов лотерей</w:t>
            </w:r>
          </w:p>
        </w:tc>
      </w:tr>
      <w:tr>
        <w:tc>
          <w:tcPr>
            <w:tcW w:w="1247" w:type="dxa"/>
          </w:tcPr>
          <w:p>
            <w:pPr>
              <w:pStyle w:val="0"/>
              <w:jc w:val="center"/>
            </w:pPr>
            <w:r>
              <w:rPr>
                <w:sz w:val="20"/>
              </w:rPr>
              <w:t xml:space="preserve">38</w:t>
            </w:r>
          </w:p>
        </w:tc>
        <w:tc>
          <w:tcPr>
            <w:tcW w:w="7824" w:type="dxa"/>
          </w:tcPr>
          <w:p>
            <w:pPr>
              <w:pStyle w:val="0"/>
              <w:jc w:val="both"/>
            </w:pPr>
            <w:r>
              <w:rPr>
                <w:sz w:val="20"/>
              </w:rPr>
              <w:t xml:space="preserve">Признаки необычных операций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tc>
          <w:tcPr>
            <w:tcW w:w="1247" w:type="dxa"/>
          </w:tcPr>
          <w:p>
            <w:pPr>
              <w:pStyle w:val="0"/>
              <w:jc w:val="center"/>
            </w:pPr>
            <w:r>
              <w:rPr>
                <w:sz w:val="20"/>
              </w:rPr>
              <w:t xml:space="preserve">39</w:t>
            </w:r>
          </w:p>
        </w:tc>
        <w:tc>
          <w:tcPr>
            <w:tcW w:w="7824" w:type="dxa"/>
          </w:tcPr>
          <w:p>
            <w:pPr>
              <w:pStyle w:val="0"/>
              <w:jc w:val="both"/>
            </w:pPr>
            <w:r>
              <w:rPr>
                <w:sz w:val="20"/>
              </w:rPr>
              <w:t xml:space="preserve">Признаки необычных операций (сделок), выявляемые при осуществлении почтовых переводов денежных средств</w:t>
            </w:r>
          </w:p>
        </w:tc>
      </w:tr>
      <w:tr>
        <w:tc>
          <w:tcPr>
            <w:tcW w:w="1247" w:type="dxa"/>
          </w:tcPr>
          <w:p>
            <w:pPr>
              <w:pStyle w:val="0"/>
              <w:jc w:val="center"/>
            </w:pPr>
            <w:r>
              <w:rPr>
                <w:sz w:val="20"/>
              </w:rPr>
              <w:t xml:space="preserve">40</w:t>
            </w:r>
          </w:p>
        </w:tc>
        <w:tc>
          <w:tcPr>
            <w:tcW w:w="7824" w:type="dxa"/>
          </w:tcPr>
          <w:p>
            <w:pPr>
              <w:pStyle w:val="0"/>
              <w:jc w:val="both"/>
            </w:pPr>
            <w:r>
              <w:rPr>
                <w:sz w:val="20"/>
              </w:rPr>
              <w:t xml:space="preserve">Признаки необычных операций (сделок), выявляемые при заключении договоров финансирования под уступку денежного требования</w:t>
            </w:r>
          </w:p>
        </w:tc>
      </w:tr>
      <w:tr>
        <w:tc>
          <w:tcPr>
            <w:tcW w:w="1247" w:type="dxa"/>
          </w:tcPr>
          <w:p>
            <w:pPr>
              <w:pStyle w:val="0"/>
              <w:jc w:val="center"/>
            </w:pPr>
            <w:r>
              <w:rPr>
                <w:sz w:val="20"/>
              </w:rPr>
              <w:t xml:space="preserve">41</w:t>
            </w:r>
          </w:p>
        </w:tc>
        <w:tc>
          <w:tcPr>
            <w:tcW w:w="7824" w:type="dxa"/>
          </w:tcPr>
          <w:p>
            <w:pPr>
              <w:pStyle w:val="0"/>
              <w:jc w:val="both"/>
            </w:pPr>
            <w:r>
              <w:rPr>
                <w:sz w:val="20"/>
              </w:rPr>
              <w:t xml:space="preserve">Признаки необычных операций (сделок), выявляемые при осуществлении деятельности оператора по приему платежей</w:t>
            </w:r>
          </w:p>
        </w:tc>
      </w:tr>
      <w:tr>
        <w:tc>
          <w:tcPr>
            <w:tcW w:w="1247" w:type="dxa"/>
          </w:tcPr>
          <w:p>
            <w:pPr>
              <w:pStyle w:val="0"/>
              <w:jc w:val="center"/>
            </w:pPr>
            <w:r>
              <w:rPr>
                <w:sz w:val="20"/>
              </w:rPr>
              <w:t xml:space="preserve">42</w:t>
            </w:r>
          </w:p>
        </w:tc>
        <w:tc>
          <w:tcPr>
            <w:tcW w:w="7824" w:type="dxa"/>
          </w:tcPr>
          <w:p>
            <w:pPr>
              <w:pStyle w:val="0"/>
              <w:jc w:val="both"/>
            </w:pPr>
            <w:r>
              <w:rPr>
                <w:sz w:val="20"/>
              </w:rPr>
              <w:t xml:space="preserve">Признаки необычных операций (сделок), выявляемые при осуществлении деятельности оператора связи, имеющего право самостоятельно оказывать услуги подвижной радиотелефонной связи, и оператора связи, занимающего существенное положение в сети связи общего пользования, который имеет право самостоятельно оказывать услуги связи по передаче данных</w:t>
            </w:r>
          </w:p>
        </w:tc>
      </w:tr>
      <w:tr>
        <w:tc>
          <w:tcPr>
            <w:tcW w:w="1247" w:type="dxa"/>
          </w:tcPr>
          <w:p>
            <w:pPr>
              <w:pStyle w:val="0"/>
              <w:jc w:val="center"/>
            </w:pPr>
            <w:r>
              <w:rPr>
                <w:sz w:val="20"/>
              </w:rPr>
              <w:t xml:space="preserve">46</w:t>
            </w:r>
          </w:p>
        </w:tc>
        <w:tc>
          <w:tcPr>
            <w:tcW w:w="7824" w:type="dxa"/>
          </w:tcPr>
          <w:p>
            <w:pPr>
              <w:pStyle w:val="0"/>
              <w:jc w:val="both"/>
            </w:pPr>
            <w:r>
              <w:rPr>
                <w:sz w:val="20"/>
              </w:rPr>
              <w:t xml:space="preserve">Признаки необычных операций (сделок), выявляемые при осуществлении деятельности нотариуса</w:t>
            </w:r>
          </w:p>
        </w:tc>
      </w:tr>
      <w:tr>
        <w:tc>
          <w:tcPr>
            <w:tcW w:w="1247" w:type="dxa"/>
          </w:tcPr>
          <w:p>
            <w:pPr>
              <w:pStyle w:val="0"/>
              <w:jc w:val="center"/>
            </w:pPr>
            <w:r>
              <w:rPr>
                <w:sz w:val="20"/>
              </w:rPr>
              <w:t xml:space="preserve">47</w:t>
            </w:r>
          </w:p>
        </w:tc>
        <w:tc>
          <w:tcPr>
            <w:tcW w:w="7824" w:type="dxa"/>
          </w:tcPr>
          <w:p>
            <w:pPr>
              <w:pStyle w:val="0"/>
              <w:jc w:val="both"/>
            </w:pPr>
            <w:r>
              <w:rPr>
                <w:sz w:val="20"/>
              </w:rPr>
              <w:t xml:space="preserve">Признаки необычных операций (сделок), выявляемые при осуществлении деятельности адвоката и лиц, оказывающих юридические услуги</w:t>
            </w:r>
          </w:p>
        </w:tc>
      </w:tr>
      <w:tr>
        <w:tc>
          <w:tcPr>
            <w:tcW w:w="1247" w:type="dxa"/>
          </w:tcPr>
          <w:p>
            <w:pPr>
              <w:pStyle w:val="0"/>
              <w:jc w:val="center"/>
            </w:pPr>
            <w:r>
              <w:rPr>
                <w:sz w:val="20"/>
              </w:rPr>
              <w:t xml:space="preserve">48</w:t>
            </w:r>
          </w:p>
        </w:tc>
        <w:tc>
          <w:tcPr>
            <w:tcW w:w="7824" w:type="dxa"/>
          </w:tcPr>
          <w:p>
            <w:pPr>
              <w:pStyle w:val="0"/>
              <w:jc w:val="both"/>
            </w:pPr>
            <w:r>
              <w:rPr>
                <w:sz w:val="20"/>
              </w:rPr>
              <w:t xml:space="preserve">Признаки необычных операций (сделок), выявляемые при оказании бухгалтерских услуг</w:t>
            </w:r>
          </w:p>
        </w:tc>
      </w:tr>
      <w:tr>
        <w:tc>
          <w:tcPr>
            <w:tcW w:w="1247" w:type="dxa"/>
          </w:tcPr>
          <w:p>
            <w:pPr>
              <w:pStyle w:val="0"/>
              <w:jc w:val="center"/>
            </w:pPr>
            <w:r>
              <w:rPr>
                <w:sz w:val="20"/>
              </w:rPr>
              <w:t xml:space="preserve">49</w:t>
            </w:r>
          </w:p>
        </w:tc>
        <w:tc>
          <w:tcPr>
            <w:tcW w:w="7824" w:type="dxa"/>
          </w:tcPr>
          <w:p>
            <w:pPr>
              <w:pStyle w:val="0"/>
              <w:jc w:val="both"/>
            </w:pPr>
            <w:r>
              <w:rPr>
                <w:sz w:val="20"/>
              </w:rPr>
              <w:t xml:space="preserve">Признаки необычных операций (сделок), выявляемые при оказании аудиторских услуг</w:t>
            </w:r>
          </w:p>
        </w:tc>
      </w:tr>
      <w:tr>
        <w:tc>
          <w:tcPr>
            <w:tcW w:w="1247" w:type="dxa"/>
          </w:tcPr>
          <w:p>
            <w:pPr>
              <w:pStyle w:val="0"/>
              <w:jc w:val="center"/>
            </w:pPr>
            <w:r>
              <w:rPr>
                <w:sz w:val="20"/>
              </w:rPr>
              <w:t xml:space="preserve">50</w:t>
            </w:r>
          </w:p>
        </w:tc>
        <w:tc>
          <w:tcPr>
            <w:tcW w:w="7824" w:type="dxa"/>
          </w:tcPr>
          <w:p>
            <w:pPr>
              <w:pStyle w:val="0"/>
              <w:jc w:val="both"/>
            </w:pPr>
            <w:r>
              <w:rPr>
                <w:sz w:val="20"/>
              </w:rPr>
              <w:t xml:space="preserve">Признаки необычных операций (сделок),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r>
        <w:tblPrEx>
          <w:tblBorders>
            <w:insideH w:val="nil"/>
          </w:tblBorders>
        </w:tblPrEx>
        <w:tc>
          <w:tcPr>
            <w:tcW w:w="1247" w:type="dxa"/>
            <w:tcBorders>
              <w:bottom w:val="nil"/>
            </w:tcBorders>
          </w:tcPr>
          <w:bookmarkStart w:id="190" w:name="P190"/>
          <w:bookmarkEnd w:id="190"/>
          <w:p>
            <w:pPr>
              <w:pStyle w:val="0"/>
              <w:ind w:firstLine="540"/>
              <w:jc w:val="both"/>
            </w:pPr>
            <w:r>
              <w:rPr>
                <w:sz w:val="20"/>
              </w:rPr>
              <w:t xml:space="preserve">51</w:t>
            </w:r>
          </w:p>
        </w:tc>
        <w:tc>
          <w:tcPr>
            <w:tcW w:w="7824" w:type="dxa"/>
            <w:tcBorders>
              <w:bottom w:val="nil"/>
            </w:tcBorders>
          </w:tcPr>
          <w:p>
            <w:pPr>
              <w:pStyle w:val="0"/>
              <w:jc w:val="both"/>
            </w:pPr>
            <w:r>
              <w:rPr>
                <w:sz w:val="20"/>
              </w:rPr>
              <w:t xml:space="preserve">Признаки необычных операций (сделок), выявляемые при осуществлении деятельности исполнительного органа личного фонда, имеющего статус международного фонда (кроме международного наследственного фонда)</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78"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Приказом</w:t>
              </w:r>
            </w:hyperlink>
            <w:r>
              <w:rPr>
                <w:sz w:val="20"/>
              </w:rPr>
              <w:t xml:space="preserve"> Росфинмониторинга от 26.08.2022 N 182)</w:t>
            </w:r>
          </w:p>
        </w:tc>
      </w:tr>
    </w:tbl>
    <w:p>
      <w:pPr>
        <w:pStyle w:val="0"/>
        <w:jc w:val="both"/>
      </w:pPr>
      <w:r>
        <w:rPr>
          <w:sz w:val="20"/>
        </w:rPr>
      </w:r>
    </w:p>
    <w:p>
      <w:pPr>
        <w:pStyle w:val="0"/>
        <w:ind w:firstLine="540"/>
        <w:jc w:val="both"/>
      </w:pPr>
      <w:r>
        <w:rPr>
          <w:sz w:val="20"/>
        </w:rPr>
        <w:t xml:space="preserve">Перечни признаков, имеющие </w:t>
      </w:r>
      <w:hyperlink w:history="0" w:anchor="P148" w:tooltip="11">
        <w:r>
          <w:rPr>
            <w:sz w:val="20"/>
            <w:color w:val="0000ff"/>
          </w:rPr>
          <w:t xml:space="preserve">коды 11</w:t>
        </w:r>
      </w:hyperlink>
      <w:r>
        <w:rPr>
          <w:sz w:val="20"/>
        </w:rPr>
        <w:t xml:space="preserve"> - </w:t>
      </w:r>
      <w:hyperlink w:history="0" w:anchor="P162" w:tooltip="22">
        <w:r>
          <w:rPr>
            <w:sz w:val="20"/>
            <w:color w:val="0000ff"/>
          </w:rPr>
          <w:t xml:space="preserve">22</w:t>
        </w:r>
      </w:hyperlink>
      <w:r>
        <w:rPr>
          <w:sz w:val="20"/>
        </w:rPr>
        <w:t xml:space="preserve">, носят общий характер и используются организациями, индивидуальными предпринимателями, лицами, указанными в </w:t>
      </w:r>
      <w:hyperlink w:history="0" r:id="rId7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в полном объеме.</w:t>
      </w:r>
    </w:p>
    <w:p>
      <w:pPr>
        <w:pStyle w:val="0"/>
        <w:jc w:val="both"/>
      </w:pPr>
      <w:r>
        <w:rPr>
          <w:sz w:val="20"/>
        </w:rPr>
        <w:t xml:space="preserve">(в ред. </w:t>
      </w:r>
      <w:hyperlink w:history="0" r:id="rId80"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spacing w:before="200" w:line-rule="auto"/>
        <w:ind w:firstLine="540"/>
        <w:jc w:val="both"/>
      </w:pPr>
      <w:r>
        <w:rPr>
          <w:sz w:val="20"/>
        </w:rPr>
        <w:t xml:space="preserve">Перечни признаков, имеющие </w:t>
      </w:r>
      <w:hyperlink w:history="0" w:anchor="P164" w:tooltip="34">
        <w:r>
          <w:rPr>
            <w:sz w:val="20"/>
            <w:color w:val="0000ff"/>
          </w:rPr>
          <w:t xml:space="preserve">коды 34</w:t>
        </w:r>
      </w:hyperlink>
      <w:r>
        <w:rPr>
          <w:sz w:val="20"/>
        </w:rPr>
        <w:t xml:space="preserve"> - </w:t>
      </w:r>
      <w:hyperlink w:history="0" w:anchor="P190" w:tooltip="51">
        <w:r>
          <w:rPr>
            <w:sz w:val="20"/>
            <w:color w:val="0000ff"/>
          </w:rPr>
          <w:t xml:space="preserve">51</w:t>
        </w:r>
      </w:hyperlink>
      <w:r>
        <w:rPr>
          <w:sz w:val="20"/>
        </w:rPr>
        <w:t xml:space="preserve">, используются организациями, индивидуальными предпринимателями, лицами, указанными в </w:t>
      </w:r>
      <w:hyperlink w:history="0" r:id="rId8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7.1</w:t>
        </w:r>
      </w:hyperlink>
      <w:r>
        <w:rPr>
          <w:sz w:val="20"/>
        </w:rPr>
        <w:t xml:space="preserve"> Федерального закона, с учетом специфики осуществляемой деятельности.</w:t>
      </w:r>
    </w:p>
    <w:p>
      <w:pPr>
        <w:pStyle w:val="0"/>
        <w:jc w:val="both"/>
      </w:pPr>
      <w:r>
        <w:rPr>
          <w:sz w:val="20"/>
        </w:rPr>
        <w:t xml:space="preserve">(в ред. </w:t>
      </w:r>
      <w:hyperlink w:history="0" r:id="rId82" w:tooltip="Приказ Росфинмониторинга от 26.08.2022 N 182 &quot;О внесении изменений в приказ Федеральной службы по финансовому мониторингу от 8 февраля 2022 г. N 18 &quot;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quot;О противодействии легализации (отмыванию) доходов, полученных преступным путем, и финансированию терроризма&quot; (Зарегистрировано в Минюсте России 26.09.2022 N 70223) {КонсультантПлюс}">
        <w:r>
          <w:rPr>
            <w:sz w:val="20"/>
            <w:color w:val="0000ff"/>
          </w:rPr>
          <w:t xml:space="preserve">Приказа</w:t>
        </w:r>
      </w:hyperlink>
      <w:r>
        <w:rPr>
          <w:sz w:val="20"/>
        </w:rPr>
        <w:t xml:space="preserve"> Росфинмониторинга от 26.08.2022 N 182)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Росфинмониторинга от 08.02.2022 N 18</w:t>
            <w:br/>
            <w:t>(ред. от 26.08.2022)</w:t>
            <w:br/>
            <w:t>"Об утверждении Особенностей представления в Федеральну...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B5C1E35FF6A2513CC11EA6708D89120CA3BCA3C91A7ABA0CF7D19BE90D8138A40900FF57683FADE3CCB106D7916DF39BE1E9117D25133FV2z2L" TargetMode = "External"/>
	<Relationship Id="rId8" Type="http://schemas.openxmlformats.org/officeDocument/2006/relationships/hyperlink" Target="consultantplus://offline/ref=0BB5C1E35FF6A2513CC11EA6708D89120CA3B3A3C41A7ABA0CF7D19BE90D8138A40900FC57636BFCA192E85795DA60F083FDE910V6z0L" TargetMode = "External"/>
	<Relationship Id="rId9" Type="http://schemas.openxmlformats.org/officeDocument/2006/relationships/hyperlink" Target="consultantplus://offline/ref=0BB5C1E35FF6A2513CC11EA6708D89120CA3B3A3C41B7ABA0CF7D19BE90D8138A40900FF57683FAFECCCB106D7916DF39BE1E9117D25133FV2z2L" TargetMode = "External"/>
	<Relationship Id="rId10" Type="http://schemas.openxmlformats.org/officeDocument/2006/relationships/hyperlink" Target="consultantplus://offline/ref=0BB5C1E35FF6A2513CC11EA6708D89120CA2BBA6C6137ABA0CF7D19BE90D8138A40900F857636BFCA192E85795DA60F083FDE910V6z0L" TargetMode = "External"/>
	<Relationship Id="rId11" Type="http://schemas.openxmlformats.org/officeDocument/2006/relationships/hyperlink" Target="consultantplus://offline/ref=0BB5C1E35FF6A2513CC11EA6708D89120CA2BBA6C91A7ABA0CF7D19BE90D8138A40900FF57683EAAE6CCB106D7916DF39BE1E9117D25133FV2z2L" TargetMode = "External"/>
	<Relationship Id="rId12" Type="http://schemas.openxmlformats.org/officeDocument/2006/relationships/hyperlink" Target="consultantplus://offline/ref=0BB5C1E35FF6A2513CC11EA6708D89120CA3BCA3C91A7ABA0CF7D19BE90D8138A40900FF57683FACE5CCB106D7916DF39BE1E9117D25133FV2z2L" TargetMode = "External"/>
	<Relationship Id="rId13" Type="http://schemas.openxmlformats.org/officeDocument/2006/relationships/hyperlink" Target="consultantplus://offline/ref=0BB5C1E35FF6A2513CC11EA6708D89120BA6B8A6C01E7ABA0CF7D19BE90D8138B60958F3576E21ADE6D9E75791VCz7L" TargetMode = "External"/>
	<Relationship Id="rId14" Type="http://schemas.openxmlformats.org/officeDocument/2006/relationships/hyperlink" Target="consultantplus://offline/ref=0BB5C1E35FF6A2513CC11EA6708D89120BA1BFA4C31C7ABA0CF7D19BE90D8138B60958F3576E21ADE6D9E75791VCz7L" TargetMode = "External"/>
	<Relationship Id="rId15" Type="http://schemas.openxmlformats.org/officeDocument/2006/relationships/hyperlink" Target="consultantplus://offline/ref=0BB5C1E35FF6A2513CC11EA6708D89120BA7BCA6C6137ABA0CF7D19BE90D8138B60958F3576E21ADE6D9E75791VCz7L" TargetMode = "External"/>
	<Relationship Id="rId16" Type="http://schemas.openxmlformats.org/officeDocument/2006/relationships/hyperlink" Target="consultantplus://offline/ref=0BB5C1E35FF6A2513CC11EA6708D89120BA6B9AEC31E7ABA0CF7D19BE90D8138B60958F3576E21ADE6D9E75791VCz7L" TargetMode = "External"/>
	<Relationship Id="rId17" Type="http://schemas.openxmlformats.org/officeDocument/2006/relationships/hyperlink" Target="consultantplus://offline/ref=0BB5C1E35FF6A2513CC11EA6708D89120CA3BCA3C91A7ABA0CF7D19BE90D8138A40900FF57683FACE4CCB106D7916DF39BE1E9117D25133FV2z2L" TargetMode = "External"/>
	<Relationship Id="rId18" Type="http://schemas.openxmlformats.org/officeDocument/2006/relationships/hyperlink" Target="consultantplus://offline/ref=0BB5C1E35FF6A2513CC11EA6708D89120CA2BDA4C61E7ABA0CF7D19BE90D8138A40900FF57683FAEE5CCB106D7916DF39BE1E9117D25133FV2z2L" TargetMode = "External"/>
	<Relationship Id="rId19" Type="http://schemas.openxmlformats.org/officeDocument/2006/relationships/hyperlink" Target="consultantplus://offline/ref=0BB5C1E35FF6A2513CC11EA6708D89120CA2BDA4C61E7ABA0CF7D19BE90D8138A40900FF556134F9B483B05A93C27EF39EE1EB1261V2z4L" TargetMode = "External"/>
	<Relationship Id="rId20" Type="http://schemas.openxmlformats.org/officeDocument/2006/relationships/hyperlink" Target="consultantplus://offline/ref=0BB5C1E35FF6A2513CC11EA6708D89120CA2BDA4C61E7ABA0CF7D19BE90D8138A40900FF57683DA9E1CCB106D7916DF39BE1E9117D25133FV2z2L" TargetMode = "External"/>
	<Relationship Id="rId21" Type="http://schemas.openxmlformats.org/officeDocument/2006/relationships/hyperlink" Target="consultantplus://offline/ref=0BB5C1E35FF6A2513CC11EA6708D89120CA3BCA3C91A7ABA0CF7D19BE90D8138A40900FF57683FACE6CCB106D7916DF39BE1E9117D25133FV2z2L" TargetMode = "External"/>
	<Relationship Id="rId22" Type="http://schemas.openxmlformats.org/officeDocument/2006/relationships/hyperlink" Target="consultantplus://offline/ref=0BB5C1E35FF6A2513CC11EA6708D89120CA3BCA3C91A7ABA0CF7D19BE90D8138A40900FF57683FACE0CCB106D7916DF39BE1E9117D25133FV2z2L" TargetMode = "External"/>
	<Relationship Id="rId23" Type="http://schemas.openxmlformats.org/officeDocument/2006/relationships/hyperlink" Target="consultantplus://offline/ref=0BB5C1E35FF6A2513CC11EA6708D89120CA3B3A3C41A7ABA0CF7D19BE90D8138A40900FF57683FADECCCB106D7916DF39BE1E9117D25133FV2z2L" TargetMode = "External"/>
	<Relationship Id="rId24" Type="http://schemas.openxmlformats.org/officeDocument/2006/relationships/hyperlink" Target="consultantplus://offline/ref=0BB5C1E35FF6A2513CC11EA6708D89120CA2BDA4C61E7ABA0CF7D19BE90D8138A40900FF57683DA9E1CCB106D7916DF39BE1E9117D25133FV2z2L" TargetMode = "External"/>
	<Relationship Id="rId25" Type="http://schemas.openxmlformats.org/officeDocument/2006/relationships/hyperlink" Target="consultantplus://offline/ref=0BB5C1E35FF6A2513CC11EA6708D89120CA3B3A3C41B7ABA0CF7D19BE90D8138A40900FF57683FA9E6CCB106D7916DF39BE1E9117D25133FV2z2L" TargetMode = "External"/>
	<Relationship Id="rId26" Type="http://schemas.openxmlformats.org/officeDocument/2006/relationships/hyperlink" Target="consultantplus://offline/ref=0BB5C1E35FF6A2513CC11EA6708D89120CA3BCA3C91A7ABA0CF7D19BE90D8138A40900FF57683FACE3CCB106D7916DF39BE1E9117D25133FV2z2L" TargetMode = "External"/>
	<Relationship Id="rId27" Type="http://schemas.openxmlformats.org/officeDocument/2006/relationships/hyperlink" Target="consultantplus://offline/ref=0BB5C1E35FF6A2513CC11EA6708D89120CA2BDA4C61E7ABA0CF7D19BE90D8138A40900FF57683CAFE3CCB106D7916DF39BE1E9117D25133FV2z2L" TargetMode = "External"/>
	<Relationship Id="rId28" Type="http://schemas.openxmlformats.org/officeDocument/2006/relationships/hyperlink" Target="consultantplus://offline/ref=0BB5C1E35FF6A2513CC11EA6708D89120CA2BDA4C61E7ABA0CF7D19BE90D8138B60958F3576E21ADE6D9E75791VCz7L" TargetMode = "External"/>
	<Relationship Id="rId29" Type="http://schemas.openxmlformats.org/officeDocument/2006/relationships/hyperlink" Target="consultantplus://offline/ref=0BB5C1E35FF6A2513CC11EA6708D89120CA2BDA4C61E7ABA0CF7D19BE90D8138A40900FF57683CA9E1CCB106D7916DF39BE1E9117D25133FV2z2L" TargetMode = "External"/>
	<Relationship Id="rId30" Type="http://schemas.openxmlformats.org/officeDocument/2006/relationships/hyperlink" Target="consultantplus://offline/ref=0BB5C1E35FF6A2513CC11EA6708D89120CA2BDA4C61E7ABA0CF7D19BE90D8138A40900FD566034F9B483B05A93C27EF39EE1EB1261V2z4L" TargetMode = "External"/>
	<Relationship Id="rId31" Type="http://schemas.openxmlformats.org/officeDocument/2006/relationships/hyperlink" Target="consultantplus://offline/ref=0BB5C1E35FF6A2513CC11EA6708D89120CA2BDA4C61E7ABA0CF7D19BE90D8138A40900FD556C34F9B483B05A93C27EF39EE1EB1261V2z4L" TargetMode = "External"/>
	<Relationship Id="rId32" Type="http://schemas.openxmlformats.org/officeDocument/2006/relationships/hyperlink" Target="consultantplus://offline/ref=0BB5C1E35FF6A2513CC11EA6708D89120CA2BDA4C61E7ABA0CF7D19BE90D8138A40900FB506F34F9B483B05A93C27EF39EE1EB1261V2z4L" TargetMode = "External"/>
	<Relationship Id="rId33" Type="http://schemas.openxmlformats.org/officeDocument/2006/relationships/hyperlink" Target="consultantplus://offline/ref=0BB5C1E35FF6A2513CC11EA6708D89120CA2BDA4C61E7ABA0CF7D19BE90D8138A40900F8526134F9B483B05A93C27EF39EE1EB1261V2z4L" TargetMode = "External"/>
	<Relationship Id="rId34" Type="http://schemas.openxmlformats.org/officeDocument/2006/relationships/hyperlink" Target="consultantplus://offline/ref=0BB5C1E35FF6A2513CC11EA6708D89120CA2BDA4C61E7ABA0CF7D19BE90D8138A40900FB506F34F9B483B05A93C27EF39EE1EB1261V2z4L" TargetMode = "External"/>
	<Relationship Id="rId35" Type="http://schemas.openxmlformats.org/officeDocument/2006/relationships/hyperlink" Target="consultantplus://offline/ref=0BB5C1E35FF6A2513CC11EA6708D89120CA2BDA4C61E7ABA0CF7D19BE90D8138A40900FC50636BFCA192E85795DA60F083FDE910V6z0L" TargetMode = "External"/>
	<Relationship Id="rId36" Type="http://schemas.openxmlformats.org/officeDocument/2006/relationships/hyperlink" Target="consultantplus://offline/ref=0BB5C1E35FF6A2513CC11EA6708D89120CA2BDA4C61E7ABA0CF7D19BE90D8138A40900F8546834F9B483B05A93C27EF39EE1EB1261V2z4L" TargetMode = "External"/>
	<Relationship Id="rId37" Type="http://schemas.openxmlformats.org/officeDocument/2006/relationships/hyperlink" Target="consultantplus://offline/ref=0BB5C1E35FF6A2513CC11EA6708D89120CA3BCA3C91A7ABA0CF7D19BE90D8138A40900FF57683FACEDCCB106D7916DF39BE1E9117D25133FV2z2L" TargetMode = "External"/>
	<Relationship Id="rId38" Type="http://schemas.openxmlformats.org/officeDocument/2006/relationships/hyperlink" Target="consultantplus://offline/ref=0BB5C1E35FF6A2513CC11EA6708D89120CA3BAA4C4187ABA0CF7D19BE90D8138B60958F3576E21ADE6D9E75791VCz7L" TargetMode = "External"/>
	<Relationship Id="rId39" Type="http://schemas.openxmlformats.org/officeDocument/2006/relationships/hyperlink" Target="consultantplus://offline/ref=0BB5C1E35FF6A2513CC11EA6708D89120CA2BDA4C61E7ABA0CF7D19BE90D8138A40900FF57683DA9E1CCB106D7916DF39BE1E9117D25133FV2z2L" TargetMode = "External"/>
	<Relationship Id="rId40" Type="http://schemas.openxmlformats.org/officeDocument/2006/relationships/hyperlink" Target="consultantplus://offline/ref=0BB5C1E35FF6A2513CC11EA6708D89120CA3BCA3C91A7ABA0CF7D19BE90D8138A40900FF57683FACECCCB106D7916DF39BE1E9117D25133FV2z2L" TargetMode = "External"/>
	<Relationship Id="rId41" Type="http://schemas.openxmlformats.org/officeDocument/2006/relationships/hyperlink" Target="consultantplus://offline/ref=0BB5C1E35FF6A2513CC11EA6708D89120CA2BDA4C61E7ABA0CF7D19BE90D8138A40900FF57683DA9E1CCB106D7916DF39BE1E9117D25133FV2z2L" TargetMode = "External"/>
	<Relationship Id="rId42" Type="http://schemas.openxmlformats.org/officeDocument/2006/relationships/hyperlink" Target="consultantplus://offline/ref=0BB5C1E35FF6A2513CC11EA6708D89120CA3BCA3C91A7ABA0CF7D19BE90D8138A40900FF57683FACECCCB106D7916DF39BE1E9117D25133FV2z2L" TargetMode = "External"/>
	<Relationship Id="rId43" Type="http://schemas.openxmlformats.org/officeDocument/2006/relationships/hyperlink" Target="consultantplus://offline/ref=0BB5C1E35FF6A2513CC11EA6708D89120CA2BDA4C61E7ABA0CF7D19BE90D8138A40900FF57683DA9E1CCB106D7916DF39BE1E9117D25133FV2z2L" TargetMode = "External"/>
	<Relationship Id="rId44" Type="http://schemas.openxmlformats.org/officeDocument/2006/relationships/hyperlink" Target="consultantplus://offline/ref=0BB5C1E35FF6A2513CC11EA6708D89120CA3BCA3C91A7ABA0CF7D19BE90D8138A40900FF57683FAFE4CCB106D7916DF39BE1E9117D25133FV2z2L" TargetMode = "External"/>
	<Relationship Id="rId45" Type="http://schemas.openxmlformats.org/officeDocument/2006/relationships/hyperlink" Target="consultantplus://offline/ref=0BB5C1E35FF6A2513CC11EA6708D89120CA2BDA4C61E7ABA0CF7D19BE90D8138A40900FF57683DA9E1CCB106D7916DF39BE1E9117D25133FV2z2L" TargetMode = "External"/>
	<Relationship Id="rId46" Type="http://schemas.openxmlformats.org/officeDocument/2006/relationships/hyperlink" Target="consultantplus://offline/ref=0BB5C1E35FF6A2513CC11EA6708D89120CA2BDA4C61E7ABA0CF7D19BE90D8138A40900FF57683DA9E1CCB106D7916DF39BE1E9117D25133FV2z2L" TargetMode = "External"/>
	<Relationship Id="rId47" Type="http://schemas.openxmlformats.org/officeDocument/2006/relationships/hyperlink" Target="consultantplus://offline/ref=0BB5C1E35FF6A2513CC11EA6708D89120CA3BCA3C91A7ABA0CF7D19BE90D8138A40900FF57683FAFE7CCB106D7916DF39BE1E9117D25133FV2z2L" TargetMode = "External"/>
	<Relationship Id="rId48" Type="http://schemas.openxmlformats.org/officeDocument/2006/relationships/hyperlink" Target="consultantplus://offline/ref=0BB5C1E35FF6A2513CC11EA6708D89120CA2BDA4C61E7ABA0CF7D19BE90D8138A40900FF57683DA9E1CCB106D7916DF39BE1E9117D25133FV2z2L" TargetMode = "External"/>
	<Relationship Id="rId49" Type="http://schemas.openxmlformats.org/officeDocument/2006/relationships/hyperlink" Target="consultantplus://offline/ref=0BB5C1E35FF6A2513CC11EA6708D89120CA2BDA4C61E7ABA0CF7D19BE90D8138A40900FF57683DA9E1CCB106D7916DF39BE1E9117D25133FV2z2L" TargetMode = "External"/>
	<Relationship Id="rId50" Type="http://schemas.openxmlformats.org/officeDocument/2006/relationships/hyperlink" Target="consultantplus://offline/ref=0BB5C1E35FF6A2513CC11EA6708D89120CA2BDA4C61E7ABA0CF7D19BE90D8138A40900FF57683DA9E1CCB106D7916DF39BE1E9117D25133FV2z2L" TargetMode = "External"/>
	<Relationship Id="rId51" Type="http://schemas.openxmlformats.org/officeDocument/2006/relationships/hyperlink" Target="consultantplus://offline/ref=0BB5C1E35FF6A2513CC11EA6708D89120CA2BDA4C61E7ABA0CF7D19BE90D8138A40900FF57683DA9E1CCB106D7916DF39BE1E9117D25133FV2z2L" TargetMode = "External"/>
	<Relationship Id="rId52" Type="http://schemas.openxmlformats.org/officeDocument/2006/relationships/hyperlink" Target="consultantplus://offline/ref=0BB5C1E35FF6A2513CC11EA6708D89120CA3BCA3C91A7ABA0CF7D19BE90D8138A40900FF57683FAFE6CCB106D7916DF39BE1E9117D25133FV2z2L" TargetMode = "External"/>
	<Relationship Id="rId53" Type="http://schemas.openxmlformats.org/officeDocument/2006/relationships/hyperlink" Target="consultantplus://offline/ref=0BB5C1E35FF6A2513CC11EA6708D89120CA2BDA4C61E7ABA0CF7D19BE90D8138A40900FF57683DA9E1CCB106D7916DF39BE1E9117D25133FV2z2L" TargetMode = "External"/>
	<Relationship Id="rId54" Type="http://schemas.openxmlformats.org/officeDocument/2006/relationships/hyperlink" Target="consultantplus://offline/ref=0BB5C1E35FF6A2513CC11EA6708D89120CA3BCA3C91A7ABA0CF7D19BE90D8138A40900FF57683FAFE3CCB106D7916DF39BE1E9117D25133FV2z2L" TargetMode = "External"/>
	<Relationship Id="rId55" Type="http://schemas.openxmlformats.org/officeDocument/2006/relationships/hyperlink" Target="consultantplus://offline/ref=0BB5C1E35FF6A2513CC11EA6708D89120CA3B9A5C8127ABA0CF7D19BE90D8138B60958F3576E21ADE6D9E75791VCz7L" TargetMode = "External"/>
	<Relationship Id="rId56" Type="http://schemas.openxmlformats.org/officeDocument/2006/relationships/hyperlink" Target="consultantplus://offline/ref=0BB5C1E35FF6A2513CC11EA6708D89120CA2BDA4C61E7ABA0CF7D19BE90D8138A40900FF57683DA9E1CCB106D7916DF39BE1E9117D25133FV2z2L" TargetMode = "External"/>
	<Relationship Id="rId57" Type="http://schemas.openxmlformats.org/officeDocument/2006/relationships/hyperlink" Target="consultantplus://offline/ref=0BB5C1E35FF6A2513CC11EA6708D89120CA3BCA3C91A7ABA0CF7D19BE90D8138A40900FF57683FAFE2CCB106D7916DF39BE1E9117D25133FV2z2L" TargetMode = "External"/>
	<Relationship Id="rId58" Type="http://schemas.openxmlformats.org/officeDocument/2006/relationships/hyperlink" Target="consultantplus://offline/ref=0BB5C1E35FF6A2513CC11EA6708D89120CA3BCA3C91A7ABA0CF7D19BE90D8138A40900FF57683FAFECCCB106D7916DF39BE1E9117D25133FV2z2L" TargetMode = "External"/>
	<Relationship Id="rId59" Type="http://schemas.openxmlformats.org/officeDocument/2006/relationships/hyperlink" Target="consultantplus://offline/ref=0BB5C1E35FF6A2513CC11EA6708D89120CA2BDA4C61E7ABA0CF7D19BE90D8138A40900FF57683DA9E1CCB106D7916DF39BE1E9117D25133FV2z2L" TargetMode = "External"/>
	<Relationship Id="rId60" Type="http://schemas.openxmlformats.org/officeDocument/2006/relationships/hyperlink" Target="consultantplus://offline/ref=0BB5C1E35FF6A2513CC11EA6708D89120CA3BCA3C91A7ABA0CF7D19BE90D8138A40900FF57683FAEE5CCB106D7916DF39BE1E9117D25133FV2z2L" TargetMode = "External"/>
	<Relationship Id="rId61" Type="http://schemas.openxmlformats.org/officeDocument/2006/relationships/hyperlink" Target="consultantplus://offline/ref=0BB5C1E35FF6A2513CC11EA6708D89120CA2BDA4C61E7ABA0CF7D19BE90D8138A40900FF57683DA9E1CCB106D7916DF39BE1E9117D25133FV2z2L" TargetMode = "External"/>
	<Relationship Id="rId62" Type="http://schemas.openxmlformats.org/officeDocument/2006/relationships/hyperlink" Target="consultantplus://offline/ref=0BB5C1E35FF6A2513CC11EA6708D89120CA3BCA3C91A7ABA0CF7D19BE90D8138A40900FF57683FAEE4CCB106D7916DF39BE1E9117D25133FV2z2L" TargetMode = "External"/>
	<Relationship Id="rId63" Type="http://schemas.openxmlformats.org/officeDocument/2006/relationships/hyperlink" Target="consultantplus://offline/ref=0BB5C1E35FF6A2513CC11EA6708D89120CA2BDA4C61E7ABA0CF7D19BE90D8138A40900FF57683DA9E1CCB106D7916DF39BE1E9117D25133FV2z2L" TargetMode = "External"/>
	<Relationship Id="rId64" Type="http://schemas.openxmlformats.org/officeDocument/2006/relationships/hyperlink" Target="consultantplus://offline/ref=0BB5C1E35FF6A2513CC11EA6708D89120CA3BCA3C91A7ABA0CF7D19BE90D8138A40900FF57683FAEE7CCB106D7916DF39BE1E9117D25133FV2z2L" TargetMode = "External"/>
	<Relationship Id="rId65" Type="http://schemas.openxmlformats.org/officeDocument/2006/relationships/hyperlink" Target="consultantplus://offline/ref=0BB5C1E35FF6A2513CC11EA6708D89120CA2BDA4C61E7ABA0CF7D19BE90D8138A40900FF57683DA9E1CCB106D7916DF39BE1E9117D25133FV2z2L" TargetMode = "External"/>
	<Relationship Id="rId66" Type="http://schemas.openxmlformats.org/officeDocument/2006/relationships/hyperlink" Target="consultantplus://offline/ref=0BB5C1E35FF6A2513CC11EA6708D89120CA3BCA3C91A7ABA0CF7D19BE90D8138A40900FF57683FAEE6CCB106D7916DF39BE1E9117D25133FV2z2L" TargetMode = "External"/>
	<Relationship Id="rId67" Type="http://schemas.openxmlformats.org/officeDocument/2006/relationships/hyperlink" Target="consultantplus://offline/ref=0BB5C1E35FF6A2513CC11EA6708D89120CA2BDA4C61E7ABA0CF7D19BE90D8138A40900FF57683DA9E1CCB106D7916DF39BE1E9117D25133FV2z2L" TargetMode = "External"/>
	<Relationship Id="rId68" Type="http://schemas.openxmlformats.org/officeDocument/2006/relationships/hyperlink" Target="consultantplus://offline/ref=0BB5C1E35FF6A2513CC11EA6708D89120CA3BCA3C91A7ABA0CF7D19BE90D8138A40900FF57683FAEE1CCB106D7916DF39BE1E9117D25133FV2z2L" TargetMode = "External"/>
	<Relationship Id="rId69" Type="http://schemas.openxmlformats.org/officeDocument/2006/relationships/hyperlink" Target="consultantplus://offline/ref=0BB5C1E35FF6A2513CC11EA6708D89120CA2BDA4C61E7ABA0CF7D19BE90D8138A40900FF57683DA9E1CCB106D7916DF39BE1E9117D25133FV2z2L" TargetMode = "External"/>
	<Relationship Id="rId70" Type="http://schemas.openxmlformats.org/officeDocument/2006/relationships/hyperlink" Target="consultantplus://offline/ref=0BB5C1E35FF6A2513CC11EA6708D89120CA3BCA3C91A7ABA0CF7D19BE90D8138A40900FF57683FAEE0CCB106D7916DF39BE1E9117D25133FV2z2L" TargetMode = "External"/>
	<Relationship Id="rId71" Type="http://schemas.openxmlformats.org/officeDocument/2006/relationships/hyperlink" Target="consultantplus://offline/ref=0BB5C1E35FF6A2513CC11EA6708D89120CA2BDA4C61E7ABA0CF7D19BE90D8138A40900FF57683DA9E1CCB106D7916DF39BE1E9117D25133FV2z2L" TargetMode = "External"/>
	<Relationship Id="rId72" Type="http://schemas.openxmlformats.org/officeDocument/2006/relationships/hyperlink" Target="consultantplus://offline/ref=0BB5C1E35FF6A2513CC11EA6708D89120CA3BCA3C91A7ABA0CF7D19BE90D8138A40900FF57683FAEE3CCB106D7916DF39BE1E9117D25133FV2z2L" TargetMode = "External"/>
	<Relationship Id="rId73" Type="http://schemas.openxmlformats.org/officeDocument/2006/relationships/hyperlink" Target="consultantplus://offline/ref=0BB5C1E35FF6A2513CC11EA6708D89120CA2BDA4C61E7ABA0CF7D19BE90D8138A40900FF57683DA9E1CCB106D7916DF39BE1E9117D25133FV2z2L" TargetMode = "External"/>
	<Relationship Id="rId74" Type="http://schemas.openxmlformats.org/officeDocument/2006/relationships/hyperlink" Target="consultantplus://offline/ref=0BB5C1E35FF6A2513CC11EA6708D89120CA3BCA3C91A7ABA0CF7D19BE90D8138A40900FF57683FAEE2CCB106D7916DF39BE1E9117D25133FV2z2L" TargetMode = "External"/>
	<Relationship Id="rId75" Type="http://schemas.openxmlformats.org/officeDocument/2006/relationships/hyperlink" Target="consultantplus://offline/ref=0BB5C1E35FF6A2513CC11EA6708D89120CA2BDA4C61E7ABA0CF7D19BE90D8138A40900FF57683DA9E1CCB106D7916DF39BE1E9117D25133FV2z2L" TargetMode = "External"/>
	<Relationship Id="rId76" Type="http://schemas.openxmlformats.org/officeDocument/2006/relationships/hyperlink" Target="consultantplus://offline/ref=0BB5C1E35FF6A2513CC11EA6708D89120CA3BCA3C91A7ABA0CF7D19BE90D8138A40900FF57683FAEEDCCB106D7916DF39BE1E9117D25133FV2z2L" TargetMode = "External"/>
	<Relationship Id="rId77" Type="http://schemas.openxmlformats.org/officeDocument/2006/relationships/hyperlink" Target="consultantplus://offline/ref=0BB5C1E35FF6A2513CC11EA6708D89120CA3BCA3C91A7ABA0CF7D19BE90D8138A40900FF57683FAEECCCB106D7916DF39BE1E9117D25133FV2z2L" TargetMode = "External"/>
	<Relationship Id="rId78" Type="http://schemas.openxmlformats.org/officeDocument/2006/relationships/hyperlink" Target="consultantplus://offline/ref=0BB5C1E35FF6A2513CC11EA6708D89120CA3BCA3C91A7ABA0CF7D19BE90D8138A40900FF57683FA9E5CCB106D7916DF39BE1E9117D25133FV2z2L" TargetMode = "External"/>
	<Relationship Id="rId79" Type="http://schemas.openxmlformats.org/officeDocument/2006/relationships/hyperlink" Target="consultantplus://offline/ref=0BB5C1E35FF6A2513CC11EA6708D89120CA2BDA4C61E7ABA0CF7D19BE90D8138A40900FF57683DA9E1CCB106D7916DF39BE1E9117D25133FV2z2L" TargetMode = "External"/>
	<Relationship Id="rId80" Type="http://schemas.openxmlformats.org/officeDocument/2006/relationships/hyperlink" Target="consultantplus://offline/ref=0BB5C1E35FF6A2513CC11EA6708D89120CA3BCA3C91A7ABA0CF7D19BE90D8138A40900FF57683FA9E0CCB106D7916DF39BE1E9117D25133FV2z2L" TargetMode = "External"/>
	<Relationship Id="rId81" Type="http://schemas.openxmlformats.org/officeDocument/2006/relationships/hyperlink" Target="consultantplus://offline/ref=0BB5C1E35FF6A2513CC11EA6708D89120CA2BDA4C61E7ABA0CF7D19BE90D8138A40900FF57683DA9E1CCB106D7916DF39BE1E9117D25133FV2z2L" TargetMode = "External"/>
	<Relationship Id="rId82" Type="http://schemas.openxmlformats.org/officeDocument/2006/relationships/hyperlink" Target="consultantplus://offline/ref=0BB5C1E35FF6A2513CC11EA6708D89120CA3BCA3C91A7ABA0CF7D19BE90D8138A40900FF57683FA9E3CCB106D7916DF39BE1E9117D25133FV2z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Росфинмониторинга от 08.02.2022 N 18
(ред. от 26.08.2022)
"Об утверждении Особенностей представления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(Зарегистрировано в Минюсте России 22.02.2022 N 67436)</dc:title>
  <dcterms:created xsi:type="dcterms:W3CDTF">2023-03-06T11:51:20Z</dcterms:created>
</cp:coreProperties>
</file>