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DC" w:rsidRDefault="005754DC">
      <w:pPr>
        <w:pStyle w:val="ConsPlusTitlePage"/>
      </w:pPr>
      <w:r>
        <w:t xml:space="preserve">Документ предоставлен </w:t>
      </w:r>
      <w:hyperlink r:id="rId4">
        <w:r>
          <w:rPr>
            <w:color w:val="0000FF"/>
          </w:rPr>
          <w:t>КонсультантПлюс</w:t>
        </w:r>
      </w:hyperlink>
      <w:r>
        <w:br/>
      </w:r>
    </w:p>
    <w:p w:rsidR="005754DC" w:rsidRDefault="005754DC">
      <w:pPr>
        <w:pStyle w:val="ConsPlusNormal"/>
        <w:jc w:val="both"/>
        <w:outlineLvl w:val="0"/>
      </w:pPr>
    </w:p>
    <w:p w:rsidR="005754DC" w:rsidRDefault="005754DC">
      <w:pPr>
        <w:pStyle w:val="ConsPlusNormal"/>
        <w:outlineLvl w:val="0"/>
      </w:pPr>
      <w:r>
        <w:t>Зарегистрировано в Минюсте России 28 февраля 2022 г. N 67548</w:t>
      </w:r>
    </w:p>
    <w:p w:rsidR="005754DC" w:rsidRDefault="005754DC">
      <w:pPr>
        <w:pStyle w:val="ConsPlusNormal"/>
        <w:pBdr>
          <w:bottom w:val="single" w:sz="6" w:space="0" w:color="auto"/>
        </w:pBdr>
        <w:spacing w:before="100" w:after="100"/>
        <w:jc w:val="both"/>
        <w:rPr>
          <w:sz w:val="2"/>
          <w:szCs w:val="2"/>
        </w:rPr>
      </w:pPr>
    </w:p>
    <w:p w:rsidR="005754DC" w:rsidRDefault="005754DC">
      <w:pPr>
        <w:pStyle w:val="ConsPlusNormal"/>
        <w:jc w:val="both"/>
      </w:pPr>
    </w:p>
    <w:p w:rsidR="005754DC" w:rsidRDefault="005754DC">
      <w:pPr>
        <w:pStyle w:val="ConsPlusTitle"/>
        <w:jc w:val="center"/>
      </w:pPr>
      <w:r>
        <w:t>МИНИСТЕРСТВО ЦИФРОВОГО РАЗВИТИЯ, СВЯЗИ</w:t>
      </w:r>
    </w:p>
    <w:p w:rsidR="005754DC" w:rsidRDefault="005754DC">
      <w:pPr>
        <w:pStyle w:val="ConsPlusTitle"/>
        <w:jc w:val="center"/>
      </w:pPr>
      <w:r>
        <w:t>И МАССОВЫХ КОММУНИКАЦИЙ РОССИЙСКОЙ ФЕДЕРАЦИИ</w:t>
      </w:r>
    </w:p>
    <w:p w:rsidR="005754DC" w:rsidRDefault="005754DC">
      <w:pPr>
        <w:pStyle w:val="ConsPlusTitle"/>
        <w:jc w:val="center"/>
      </w:pPr>
    </w:p>
    <w:p w:rsidR="005754DC" w:rsidRDefault="005754DC">
      <w:pPr>
        <w:pStyle w:val="ConsPlusTitle"/>
        <w:jc w:val="center"/>
      </w:pPr>
      <w:r>
        <w:t>ПРИКАЗ</w:t>
      </w:r>
    </w:p>
    <w:p w:rsidR="005754DC" w:rsidRDefault="005754DC">
      <w:pPr>
        <w:pStyle w:val="ConsPlusTitle"/>
        <w:jc w:val="center"/>
      </w:pPr>
      <w:r>
        <w:t>от 25 ноября 2021 г. N 1229</w:t>
      </w:r>
    </w:p>
    <w:p w:rsidR="005754DC" w:rsidRDefault="005754DC">
      <w:pPr>
        <w:pStyle w:val="ConsPlusTitle"/>
        <w:jc w:val="center"/>
      </w:pPr>
    </w:p>
    <w:p w:rsidR="005754DC" w:rsidRDefault="005754DC">
      <w:pPr>
        <w:pStyle w:val="ConsPlusTitle"/>
        <w:jc w:val="center"/>
      </w:pPr>
      <w:r>
        <w:t>ОБ УТВЕРЖДЕНИИ ТРЕБОВАНИЙ</w:t>
      </w:r>
    </w:p>
    <w:p w:rsidR="005754DC" w:rsidRDefault="005754DC">
      <w:pPr>
        <w:pStyle w:val="ConsPlusTitle"/>
        <w:jc w:val="center"/>
      </w:pPr>
      <w:r>
        <w:t xml:space="preserve">К ОРГАНИЗАЦИОННО-ТЕХНИЧЕСКОМУ ОБЕСПЕЧЕНИЮ </w:t>
      </w:r>
      <w:proofErr w:type="gramStart"/>
      <w:r>
        <w:t>УСТОЙЧИВОГО</w:t>
      </w:r>
      <w:proofErr w:type="gramEnd"/>
    </w:p>
    <w:p w:rsidR="005754DC" w:rsidRDefault="005754DC">
      <w:pPr>
        <w:pStyle w:val="ConsPlusTitle"/>
        <w:jc w:val="center"/>
      </w:pPr>
      <w:r>
        <w:t>ФУНКЦИОНИРОВАНИЯ СЕТИ СВЯЗИ ОБЩЕГО ПОЛЬЗОВАНИЯ</w:t>
      </w:r>
    </w:p>
    <w:p w:rsidR="005754DC" w:rsidRDefault="005754DC">
      <w:pPr>
        <w:pStyle w:val="ConsPlusNormal"/>
        <w:jc w:val="both"/>
      </w:pPr>
    </w:p>
    <w:p w:rsidR="005754DC" w:rsidRDefault="005754DC">
      <w:pPr>
        <w:pStyle w:val="ConsPlusNormal"/>
        <w:ind w:firstLine="540"/>
        <w:jc w:val="both"/>
      </w:pPr>
      <w:r>
        <w:t xml:space="preserve">В соответствии с </w:t>
      </w:r>
      <w:hyperlink r:id="rId5">
        <w:r>
          <w:rPr>
            <w:color w:val="0000FF"/>
          </w:rPr>
          <w:t>абзацем третьим пункта 2 статьи 12</w:t>
        </w:r>
      </w:hyperlink>
      <w:r>
        <w:t xml:space="preserve"> Федерального закона от 7 июля 2003 г. N 126-ФЗ "О связи" (Собрание законодательства Российской Федерации, 2003, N 28, ст. 2895; </w:t>
      </w:r>
      <w:proofErr w:type="gramStart"/>
      <w:r>
        <w:t xml:space="preserve">2021, N 1, ст. 27) и </w:t>
      </w:r>
      <w:hyperlink r:id="rId6">
        <w:r>
          <w:rPr>
            <w:color w:val="0000FF"/>
          </w:rPr>
          <w:t>абзацем первым пункта 1</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52, ст. 9178), приказываю:</w:t>
      </w:r>
      <w:proofErr w:type="gramEnd"/>
    </w:p>
    <w:p w:rsidR="005754DC" w:rsidRDefault="005754DC">
      <w:pPr>
        <w:pStyle w:val="ConsPlusNormal"/>
        <w:spacing w:before="220"/>
        <w:ind w:firstLine="540"/>
        <w:jc w:val="both"/>
      </w:pPr>
      <w:r>
        <w:t xml:space="preserve">1. Утвердить прилагаемые </w:t>
      </w:r>
      <w:hyperlink w:anchor="P35">
        <w:r>
          <w:rPr>
            <w:color w:val="0000FF"/>
          </w:rPr>
          <w:t>Требования</w:t>
        </w:r>
      </w:hyperlink>
      <w:r>
        <w:t xml:space="preserve"> к организационно-техническому обеспечению устойчивого функционирования сети связи общего пользования.</w:t>
      </w:r>
    </w:p>
    <w:p w:rsidR="005754DC" w:rsidRDefault="005754DC">
      <w:pPr>
        <w:pStyle w:val="ConsPlusNormal"/>
        <w:spacing w:before="220"/>
        <w:ind w:firstLine="540"/>
        <w:jc w:val="both"/>
      </w:pPr>
      <w:r>
        <w:t>2. Признать утратившими силу:</w:t>
      </w:r>
    </w:p>
    <w:p w:rsidR="005754DC" w:rsidRDefault="005754DC">
      <w:pPr>
        <w:pStyle w:val="ConsPlusNormal"/>
        <w:spacing w:before="220"/>
        <w:ind w:firstLine="540"/>
        <w:jc w:val="both"/>
      </w:pPr>
      <w:hyperlink r:id="rId7">
        <w:r>
          <w:rPr>
            <w:color w:val="0000FF"/>
          </w:rPr>
          <w:t>приказ</w:t>
        </w:r>
      </w:hyperlink>
      <w: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 (зарегистрирован Министерством юстиции Российской Федерации 22 октября 2007 г., регистрационный N 10380);</w:t>
      </w:r>
    </w:p>
    <w:p w:rsidR="005754DC" w:rsidRDefault="005754DC">
      <w:pPr>
        <w:pStyle w:val="ConsPlusNormal"/>
        <w:spacing w:before="220"/>
        <w:ind w:firstLine="540"/>
        <w:jc w:val="both"/>
      </w:pPr>
      <w:hyperlink r:id="rId8">
        <w:proofErr w:type="gramStart"/>
        <w:r>
          <w:rPr>
            <w:color w:val="0000FF"/>
          </w:rPr>
          <w:t>приказ</w:t>
        </w:r>
      </w:hyperlink>
      <w:r>
        <w:t xml:space="preserve"> Министерства связи и массовых коммуникаций Российской Федерации от 20 декабря 2016 г. N 673 "Об утверждении требований к организационно-техническому обеспечению устойчивого функционирования сети связи общего пользования в части установления требований к разности (расхождению) шкал времени в сетях операторов связи" (зарегистрирован Министерством юстиции Российской Федерации 23 января 2017 г., регистрационный N 45355).</w:t>
      </w:r>
      <w:proofErr w:type="gramEnd"/>
    </w:p>
    <w:p w:rsidR="005754DC" w:rsidRDefault="005754DC">
      <w:pPr>
        <w:pStyle w:val="ConsPlusNormal"/>
        <w:spacing w:before="220"/>
        <w:ind w:firstLine="540"/>
        <w:jc w:val="both"/>
      </w:pPr>
      <w:r>
        <w:t xml:space="preserve">3. Настоящий приказ вступает в силу с 1 сентября 2022 г. и действует в течение шести лет </w:t>
      </w:r>
      <w:proofErr w:type="gramStart"/>
      <w:r>
        <w:t>с даты</w:t>
      </w:r>
      <w:proofErr w:type="gramEnd"/>
      <w:r>
        <w:t xml:space="preserve"> его вступления в силу.</w:t>
      </w:r>
    </w:p>
    <w:p w:rsidR="005754DC" w:rsidRDefault="005754DC">
      <w:pPr>
        <w:pStyle w:val="ConsPlusNormal"/>
        <w:jc w:val="both"/>
      </w:pPr>
    </w:p>
    <w:p w:rsidR="005754DC" w:rsidRDefault="005754DC">
      <w:pPr>
        <w:pStyle w:val="ConsPlusNormal"/>
        <w:jc w:val="right"/>
      </w:pPr>
      <w:r>
        <w:t>Министр</w:t>
      </w:r>
    </w:p>
    <w:p w:rsidR="005754DC" w:rsidRDefault="005754DC">
      <w:pPr>
        <w:pStyle w:val="ConsPlusNormal"/>
        <w:jc w:val="right"/>
      </w:pPr>
      <w:r>
        <w:t>М.И.ШАДАЕВ</w:t>
      </w:r>
    </w:p>
    <w:p w:rsidR="005754DC" w:rsidRDefault="005754DC">
      <w:pPr>
        <w:pStyle w:val="ConsPlusNormal"/>
        <w:jc w:val="both"/>
      </w:pPr>
    </w:p>
    <w:p w:rsidR="005754DC" w:rsidRDefault="005754DC">
      <w:pPr>
        <w:pStyle w:val="ConsPlusNormal"/>
        <w:jc w:val="both"/>
      </w:pPr>
    </w:p>
    <w:p w:rsidR="005754DC" w:rsidRDefault="005754DC">
      <w:pPr>
        <w:pStyle w:val="ConsPlusNormal"/>
        <w:jc w:val="both"/>
      </w:pPr>
    </w:p>
    <w:p w:rsidR="005754DC" w:rsidRDefault="005754DC">
      <w:pPr>
        <w:pStyle w:val="ConsPlusNormal"/>
        <w:jc w:val="both"/>
      </w:pPr>
    </w:p>
    <w:p w:rsidR="005754DC" w:rsidRDefault="005754DC">
      <w:pPr>
        <w:pStyle w:val="ConsPlusNormal"/>
        <w:jc w:val="both"/>
      </w:pPr>
    </w:p>
    <w:p w:rsidR="005754DC" w:rsidRDefault="005754DC">
      <w:pPr>
        <w:pStyle w:val="ConsPlusNormal"/>
        <w:jc w:val="right"/>
        <w:outlineLvl w:val="0"/>
      </w:pPr>
      <w:r>
        <w:t>Утверждены</w:t>
      </w:r>
    </w:p>
    <w:p w:rsidR="005754DC" w:rsidRDefault="005754DC">
      <w:pPr>
        <w:pStyle w:val="ConsPlusNormal"/>
        <w:jc w:val="right"/>
      </w:pPr>
      <w:r>
        <w:t>приказом Министерства</w:t>
      </w:r>
    </w:p>
    <w:p w:rsidR="005754DC" w:rsidRDefault="005754DC">
      <w:pPr>
        <w:pStyle w:val="ConsPlusNormal"/>
        <w:jc w:val="right"/>
      </w:pPr>
      <w:r>
        <w:t>цифрового развития, связи</w:t>
      </w:r>
    </w:p>
    <w:p w:rsidR="005754DC" w:rsidRDefault="005754DC">
      <w:pPr>
        <w:pStyle w:val="ConsPlusNormal"/>
        <w:jc w:val="right"/>
      </w:pPr>
      <w:r>
        <w:t>и массовых коммуникаций</w:t>
      </w:r>
    </w:p>
    <w:p w:rsidR="005754DC" w:rsidRDefault="005754DC">
      <w:pPr>
        <w:pStyle w:val="ConsPlusNormal"/>
        <w:jc w:val="right"/>
      </w:pPr>
      <w:r>
        <w:t>Российской Федерации</w:t>
      </w:r>
    </w:p>
    <w:p w:rsidR="005754DC" w:rsidRDefault="005754DC">
      <w:pPr>
        <w:pStyle w:val="ConsPlusNormal"/>
        <w:jc w:val="right"/>
      </w:pPr>
      <w:r>
        <w:t>от 25.11.2021 N 1229</w:t>
      </w:r>
    </w:p>
    <w:p w:rsidR="005754DC" w:rsidRDefault="005754DC">
      <w:pPr>
        <w:pStyle w:val="ConsPlusNormal"/>
        <w:jc w:val="both"/>
      </w:pPr>
    </w:p>
    <w:p w:rsidR="005754DC" w:rsidRDefault="005754DC">
      <w:pPr>
        <w:pStyle w:val="ConsPlusTitle"/>
        <w:jc w:val="center"/>
      </w:pPr>
      <w:bookmarkStart w:id="0" w:name="P35"/>
      <w:bookmarkEnd w:id="0"/>
      <w:r>
        <w:t>ТРЕБОВАНИЯ</w:t>
      </w:r>
    </w:p>
    <w:p w:rsidR="005754DC" w:rsidRDefault="005754DC">
      <w:pPr>
        <w:pStyle w:val="ConsPlusTitle"/>
        <w:jc w:val="center"/>
      </w:pPr>
      <w:r>
        <w:t xml:space="preserve">К ОРГАНИЗАЦИОННО-ТЕХНИЧЕСКОМУ ОБЕСПЕЧЕНИЮ </w:t>
      </w:r>
      <w:proofErr w:type="gramStart"/>
      <w:r>
        <w:t>УСТОЙЧИВОГО</w:t>
      </w:r>
      <w:proofErr w:type="gramEnd"/>
    </w:p>
    <w:p w:rsidR="005754DC" w:rsidRDefault="005754DC">
      <w:pPr>
        <w:pStyle w:val="ConsPlusTitle"/>
        <w:jc w:val="center"/>
      </w:pPr>
      <w:r>
        <w:t>ФУНКЦИОНИРОВАНИЯ СЕТИ СВЯЗИ ОБЩЕГО ПОЛЬЗОВАНИЯ</w:t>
      </w:r>
    </w:p>
    <w:p w:rsidR="005754DC" w:rsidRDefault="005754DC">
      <w:pPr>
        <w:pStyle w:val="ConsPlusNormal"/>
        <w:jc w:val="both"/>
      </w:pPr>
    </w:p>
    <w:p w:rsidR="005754DC" w:rsidRDefault="005754DC">
      <w:pPr>
        <w:pStyle w:val="ConsPlusNormal"/>
        <w:ind w:firstLine="540"/>
        <w:jc w:val="both"/>
      </w:pPr>
      <w:r>
        <w:t>1. Настоящие Требования распространяются на сети электросвязи, входящие в состав сети связи общего пользования (кроме сетей связи для распространения программ телевизионного вещания и радиовещания).</w:t>
      </w:r>
    </w:p>
    <w:p w:rsidR="005754DC" w:rsidRDefault="005754DC">
      <w:pPr>
        <w:pStyle w:val="ConsPlusNormal"/>
        <w:spacing w:before="220"/>
        <w:ind w:firstLine="540"/>
        <w:jc w:val="both"/>
      </w:pPr>
      <w:r>
        <w:t xml:space="preserve">2. Параметры функционирования сетей связи должны соответствовать </w:t>
      </w:r>
      <w:hyperlink w:anchor="P61">
        <w:r>
          <w:rPr>
            <w:color w:val="0000FF"/>
          </w:rPr>
          <w:t>приложению N 1</w:t>
        </w:r>
      </w:hyperlink>
      <w:r>
        <w:t xml:space="preserve"> к настоящим Требованиям. Указанные параметры функционирования сетей связи должны соблюдаться при проектировании сети связи и контролироваться операторами связи в процессе эксплуатации сети связи посредством проведения измерений, выполняемых по планам операторов связи с периодичностью не реже чем 1 раз в 3 года.</w:t>
      </w:r>
    </w:p>
    <w:p w:rsidR="005754DC" w:rsidRDefault="005754DC">
      <w:pPr>
        <w:pStyle w:val="ConsPlusNormal"/>
        <w:spacing w:before="220"/>
        <w:ind w:firstLine="540"/>
        <w:jc w:val="both"/>
      </w:pPr>
      <w:r>
        <w:t>3. Функциональная и физическая совместимость сре</w:t>
      </w:r>
      <w:proofErr w:type="gramStart"/>
      <w:r>
        <w:t>дств св</w:t>
      </w:r>
      <w:proofErr w:type="gramEnd"/>
      <w:r>
        <w:t>язи должна обеспечиваться:</w:t>
      </w:r>
    </w:p>
    <w:p w:rsidR="005754DC" w:rsidRDefault="005754DC">
      <w:pPr>
        <w:pStyle w:val="ConsPlusNormal"/>
        <w:spacing w:before="220"/>
        <w:ind w:firstLine="540"/>
        <w:jc w:val="both"/>
      </w:pPr>
      <w:proofErr w:type="gramStart"/>
      <w:r>
        <w:t xml:space="preserve">1) выполнением требований к применяемым средствам связи, устанавливаемых в соответствии с </w:t>
      </w:r>
      <w:hyperlink r:id="rId9">
        <w:r>
          <w:rPr>
            <w:color w:val="0000FF"/>
          </w:rPr>
          <w:t>абзацем третьим пункта 2 статьи 12</w:t>
        </w:r>
      </w:hyperlink>
      <w:r>
        <w:t xml:space="preserve">, </w:t>
      </w:r>
      <w:hyperlink r:id="rId10">
        <w:r>
          <w:rPr>
            <w:color w:val="0000FF"/>
          </w:rPr>
          <w:t>пунктом 1 статьи 41</w:t>
        </w:r>
      </w:hyperlink>
      <w:r>
        <w:t xml:space="preserve"> Федерального закона от 7 июля 2003 г. N 126-ФЗ "О связи" (Собрание законодательства Российской Федерации, 2003, N 28, ст. 2895; 2021, N 1, ст. 27) (далее - требования к применяемым средствам связи);</w:t>
      </w:r>
      <w:proofErr w:type="gramEnd"/>
    </w:p>
    <w:p w:rsidR="005754DC" w:rsidRDefault="005754DC">
      <w:pPr>
        <w:pStyle w:val="ConsPlusNormal"/>
        <w:spacing w:before="220"/>
        <w:ind w:firstLine="540"/>
        <w:jc w:val="both"/>
      </w:pPr>
      <w:r>
        <w:t>2) применением протоколов системы сигнализации по общему каналу сигнализации N 7 и (или) протокола SIP (для сетей связи, использующих технологии коммутации пакетов информации).</w:t>
      </w:r>
    </w:p>
    <w:p w:rsidR="005754DC" w:rsidRDefault="005754DC">
      <w:pPr>
        <w:pStyle w:val="ConsPlusNormal"/>
        <w:spacing w:before="220"/>
        <w:ind w:firstLine="540"/>
        <w:jc w:val="both"/>
      </w:pPr>
      <w:r>
        <w:t>Копии документов, подтверждающих соответствие сре</w:t>
      </w:r>
      <w:proofErr w:type="gramStart"/>
      <w:r>
        <w:t>дств св</w:t>
      </w:r>
      <w:proofErr w:type="gramEnd"/>
      <w:r>
        <w:t>язи, используемых в сети связи, требованиям к применяемым средствам связи, должны храниться оператором связи в течение всего срока эксплуатации этих средств связи.</w:t>
      </w:r>
    </w:p>
    <w:p w:rsidR="005754DC" w:rsidRDefault="005754DC">
      <w:pPr>
        <w:pStyle w:val="ConsPlusNormal"/>
        <w:spacing w:before="220"/>
        <w:ind w:firstLine="540"/>
        <w:jc w:val="both"/>
      </w:pPr>
      <w:r>
        <w:t xml:space="preserve">4. Измерения параметров функционирования сетей связи должны проводиться с учетом требований </w:t>
      </w:r>
      <w:hyperlink r:id="rId11">
        <w:r>
          <w:rPr>
            <w:color w:val="0000FF"/>
          </w:rPr>
          <w:t>статьи 5</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2020, N 44, ст. 6890).</w:t>
      </w:r>
    </w:p>
    <w:p w:rsidR="005754DC" w:rsidRDefault="005754DC">
      <w:pPr>
        <w:pStyle w:val="ConsPlusNormal"/>
        <w:spacing w:before="220"/>
        <w:ind w:firstLine="540"/>
        <w:jc w:val="both"/>
      </w:pPr>
      <w:proofErr w:type="gramStart"/>
      <w:r>
        <w:t xml:space="preserve">Единство измерений обеспечивается выполнением требований к измерениям параметров функционирования средств связи и линий связи, устанавливаемых в настоящих Требованиях и эксплуатационной документации производителей средств связи, а также применением при измерениях средств измерений, соответствующих требованиям </w:t>
      </w:r>
      <w:hyperlink r:id="rId12">
        <w:r>
          <w:rPr>
            <w:color w:val="0000FF"/>
          </w:rPr>
          <w:t>статьи 9</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w:t>
      </w:r>
      <w:proofErr w:type="gramEnd"/>
      <w:r>
        <w:t xml:space="preserve"> </w:t>
      </w:r>
      <w:proofErr w:type="gramStart"/>
      <w:r>
        <w:t>2019, N 52, ст. 7814) и обеспечивающих измерение параметров с требуемой точностью.</w:t>
      </w:r>
      <w:proofErr w:type="gramEnd"/>
    </w:p>
    <w:p w:rsidR="005754DC" w:rsidRDefault="005754DC">
      <w:pPr>
        <w:pStyle w:val="ConsPlusNormal"/>
        <w:spacing w:before="220"/>
        <w:ind w:firstLine="540"/>
        <w:jc w:val="both"/>
      </w:pPr>
      <w:bookmarkStart w:id="1" w:name="P47"/>
      <w:bookmarkEnd w:id="1"/>
      <w:r>
        <w:t xml:space="preserve">5. Разность (расхождение) шкал времени в сетях операторов связи относительно национальной шкалы времени Российской Федерации UTC (SU) должна быть не более 1 </w:t>
      </w:r>
      <w:proofErr w:type="gramStart"/>
      <w:r>
        <w:t>с</w:t>
      </w:r>
      <w:proofErr w:type="gramEnd"/>
      <w:r>
        <w:t>.</w:t>
      </w:r>
    </w:p>
    <w:p w:rsidR="005754DC" w:rsidRDefault="005754DC">
      <w:pPr>
        <w:pStyle w:val="ConsPlusNormal"/>
        <w:spacing w:before="220"/>
        <w:ind w:firstLine="540"/>
        <w:jc w:val="both"/>
      </w:pPr>
      <w:r>
        <w:t xml:space="preserve">6. Разность (расхождение) шкал времени в сетях операторов связи относительно национальной шкалы времени Российской Федерации UTC (SU) в пределах допустимых значений, установленных </w:t>
      </w:r>
      <w:hyperlink w:anchor="P47">
        <w:r>
          <w:rPr>
            <w:color w:val="0000FF"/>
          </w:rPr>
          <w:t>пунктом 5</w:t>
        </w:r>
      </w:hyperlink>
      <w:r>
        <w:t xml:space="preserve"> настоящих Требований, должна поддерживаться оператором связи в процессе эксплуатации сети связи.</w:t>
      </w:r>
    </w:p>
    <w:p w:rsidR="005754DC" w:rsidRDefault="005754DC">
      <w:pPr>
        <w:pStyle w:val="ConsPlusNormal"/>
        <w:spacing w:before="220"/>
        <w:ind w:firstLine="540"/>
        <w:jc w:val="both"/>
      </w:pPr>
      <w:r>
        <w:t xml:space="preserve">7. Расчетные значения показателей надежности сети связи, определяемые при проектировании сети связи, и эксплуатационные значения показателей надежности сети связи должны соответствовать техническим нормам показателей надежности сетей связи, приведенным в </w:t>
      </w:r>
      <w:hyperlink w:anchor="P193">
        <w:r>
          <w:rPr>
            <w:color w:val="0000FF"/>
          </w:rPr>
          <w:t>приложении N 2</w:t>
        </w:r>
      </w:hyperlink>
      <w:r>
        <w:t xml:space="preserve"> к настоящим Требованиям.</w:t>
      </w:r>
    </w:p>
    <w:p w:rsidR="005754DC" w:rsidRDefault="005754DC">
      <w:pPr>
        <w:pStyle w:val="ConsPlusNormal"/>
        <w:jc w:val="both"/>
      </w:pPr>
    </w:p>
    <w:p w:rsidR="005754DC" w:rsidRDefault="005754DC">
      <w:pPr>
        <w:pStyle w:val="ConsPlusNormal"/>
        <w:jc w:val="both"/>
      </w:pPr>
    </w:p>
    <w:p w:rsidR="005754DC" w:rsidRDefault="005754DC">
      <w:pPr>
        <w:pStyle w:val="ConsPlusNormal"/>
        <w:jc w:val="both"/>
      </w:pPr>
    </w:p>
    <w:p w:rsidR="005754DC" w:rsidRDefault="005754DC">
      <w:pPr>
        <w:pStyle w:val="ConsPlusNormal"/>
        <w:jc w:val="both"/>
      </w:pPr>
    </w:p>
    <w:p w:rsidR="005754DC" w:rsidRDefault="005754DC">
      <w:pPr>
        <w:pStyle w:val="ConsPlusNormal"/>
        <w:jc w:val="both"/>
      </w:pPr>
    </w:p>
    <w:p w:rsidR="005754DC" w:rsidRDefault="005754DC">
      <w:pPr>
        <w:pStyle w:val="ConsPlusNormal"/>
        <w:jc w:val="right"/>
        <w:outlineLvl w:val="1"/>
      </w:pPr>
      <w:r>
        <w:t>Приложение N 1</w:t>
      </w:r>
    </w:p>
    <w:p w:rsidR="005754DC" w:rsidRDefault="005754DC">
      <w:pPr>
        <w:pStyle w:val="ConsPlusNormal"/>
        <w:jc w:val="right"/>
      </w:pPr>
      <w:r>
        <w:t>к Требованиям</w:t>
      </w:r>
    </w:p>
    <w:p w:rsidR="005754DC" w:rsidRDefault="005754DC">
      <w:pPr>
        <w:pStyle w:val="ConsPlusNormal"/>
        <w:jc w:val="right"/>
      </w:pPr>
      <w:r>
        <w:t>к организационно-техническому обеспечению</w:t>
      </w:r>
    </w:p>
    <w:p w:rsidR="005754DC" w:rsidRDefault="005754DC">
      <w:pPr>
        <w:pStyle w:val="ConsPlusNormal"/>
        <w:jc w:val="right"/>
      </w:pPr>
      <w:r>
        <w:t>устойчивого функционирования сети</w:t>
      </w:r>
    </w:p>
    <w:p w:rsidR="005754DC" w:rsidRDefault="005754DC">
      <w:pPr>
        <w:pStyle w:val="ConsPlusNormal"/>
        <w:jc w:val="right"/>
      </w:pPr>
      <w:r>
        <w:t>связи общего пользования</w:t>
      </w:r>
    </w:p>
    <w:p w:rsidR="005754DC" w:rsidRDefault="005754DC">
      <w:pPr>
        <w:pStyle w:val="ConsPlusNormal"/>
        <w:jc w:val="both"/>
      </w:pPr>
    </w:p>
    <w:p w:rsidR="005754DC" w:rsidRDefault="005754DC">
      <w:pPr>
        <w:pStyle w:val="ConsPlusTitle"/>
        <w:jc w:val="center"/>
      </w:pPr>
      <w:bookmarkStart w:id="2" w:name="P61"/>
      <w:bookmarkEnd w:id="2"/>
      <w:r>
        <w:t>ПАРАМЕТРЫ ФУНКЦИОНИРОВАНИЯ СЕТЕЙ СВЯЗИ</w:t>
      </w:r>
    </w:p>
    <w:p w:rsidR="005754DC" w:rsidRDefault="005754DC">
      <w:pPr>
        <w:pStyle w:val="ConsPlusNormal"/>
        <w:jc w:val="both"/>
      </w:pPr>
    </w:p>
    <w:p w:rsidR="005754DC" w:rsidRDefault="005754DC">
      <w:pPr>
        <w:pStyle w:val="ConsPlusTitle"/>
        <w:ind w:firstLine="540"/>
        <w:jc w:val="both"/>
        <w:outlineLvl w:val="2"/>
      </w:pPr>
      <w:r>
        <w:t>Таблица N 1. Параметры функционирования сетей телефонной сети связи</w:t>
      </w:r>
    </w:p>
    <w:p w:rsidR="005754DC" w:rsidRDefault="0057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860"/>
        <w:gridCol w:w="1644"/>
      </w:tblGrid>
      <w:tr w:rsidR="005754DC">
        <w:tc>
          <w:tcPr>
            <w:tcW w:w="557" w:type="dxa"/>
            <w:tcBorders>
              <w:top w:val="single" w:sz="4" w:space="0" w:color="auto"/>
              <w:bottom w:val="single" w:sz="4" w:space="0" w:color="auto"/>
            </w:tcBorders>
          </w:tcPr>
          <w:p w:rsidR="005754DC" w:rsidRDefault="005754DC">
            <w:pPr>
              <w:pStyle w:val="ConsPlusNormal"/>
              <w:jc w:val="center"/>
            </w:pPr>
            <w:r>
              <w:t xml:space="preserve">N </w:t>
            </w:r>
            <w:proofErr w:type="gramStart"/>
            <w:r>
              <w:t>п</w:t>
            </w:r>
            <w:proofErr w:type="gramEnd"/>
            <w:r>
              <w:t>/п</w:t>
            </w:r>
          </w:p>
        </w:tc>
        <w:tc>
          <w:tcPr>
            <w:tcW w:w="6860" w:type="dxa"/>
            <w:tcBorders>
              <w:top w:val="single" w:sz="4" w:space="0" w:color="auto"/>
              <w:bottom w:val="single" w:sz="4" w:space="0" w:color="auto"/>
            </w:tcBorders>
          </w:tcPr>
          <w:p w:rsidR="005754DC" w:rsidRDefault="005754DC">
            <w:pPr>
              <w:pStyle w:val="ConsPlusNormal"/>
              <w:jc w:val="center"/>
            </w:pPr>
            <w:r>
              <w:t>Наименование показателя</w:t>
            </w:r>
          </w:p>
        </w:tc>
        <w:tc>
          <w:tcPr>
            <w:tcW w:w="1644" w:type="dxa"/>
            <w:tcBorders>
              <w:top w:val="single" w:sz="4" w:space="0" w:color="auto"/>
              <w:bottom w:val="single" w:sz="4" w:space="0" w:color="auto"/>
            </w:tcBorders>
          </w:tcPr>
          <w:p w:rsidR="005754DC" w:rsidRDefault="005754DC">
            <w:pPr>
              <w:pStyle w:val="ConsPlusNormal"/>
              <w:jc w:val="center"/>
            </w:pPr>
            <w:r>
              <w:t>Норма (в час наибольшей нагрузки)</w:t>
            </w:r>
          </w:p>
        </w:tc>
      </w:tr>
      <w:tr w:rsidR="005754DC">
        <w:tblPrEx>
          <w:tblBorders>
            <w:insideH w:val="none" w:sz="0" w:space="0" w:color="auto"/>
          </w:tblBorders>
        </w:tblPrEx>
        <w:tc>
          <w:tcPr>
            <w:tcW w:w="557" w:type="dxa"/>
            <w:tcBorders>
              <w:top w:val="single" w:sz="4" w:space="0" w:color="auto"/>
              <w:bottom w:val="nil"/>
            </w:tcBorders>
          </w:tcPr>
          <w:p w:rsidR="005754DC" w:rsidRDefault="005754DC">
            <w:pPr>
              <w:pStyle w:val="ConsPlusNormal"/>
            </w:pPr>
            <w:r>
              <w:t>1.</w:t>
            </w:r>
          </w:p>
        </w:tc>
        <w:tc>
          <w:tcPr>
            <w:tcW w:w="6860" w:type="dxa"/>
            <w:tcBorders>
              <w:top w:val="single" w:sz="4" w:space="0" w:color="auto"/>
              <w:bottom w:val="nil"/>
            </w:tcBorders>
          </w:tcPr>
          <w:p w:rsidR="005754DC" w:rsidRDefault="005754DC">
            <w:pPr>
              <w:pStyle w:val="ConsPlusNormal"/>
              <w:jc w:val="both"/>
            </w:pPr>
            <w:r>
              <w:t>Доля несостоявшихся вызовов из-за технических неисправностей или перегрузки сети связи в общем количестве попыток вызовов (потери вызовов) при установлении соединений:</w:t>
            </w:r>
          </w:p>
        </w:tc>
        <w:tc>
          <w:tcPr>
            <w:tcW w:w="1644" w:type="dxa"/>
            <w:tcBorders>
              <w:top w:val="single" w:sz="4" w:space="0" w:color="auto"/>
              <w:bottom w:val="nil"/>
            </w:tcBorders>
          </w:tcPr>
          <w:p w:rsidR="005754DC" w:rsidRDefault="005754DC">
            <w:pPr>
              <w:pStyle w:val="ConsPlusNormal"/>
            </w:pPr>
          </w:p>
        </w:tc>
      </w:tr>
      <w:tr w:rsidR="005754DC">
        <w:tblPrEx>
          <w:tblBorders>
            <w:insideH w:val="none" w:sz="0" w:space="0" w:color="auto"/>
          </w:tblBorders>
        </w:tblPrEx>
        <w:tc>
          <w:tcPr>
            <w:tcW w:w="557" w:type="dxa"/>
            <w:tcBorders>
              <w:top w:val="nil"/>
              <w:bottom w:val="nil"/>
            </w:tcBorders>
          </w:tcPr>
          <w:p w:rsidR="005754DC" w:rsidRDefault="005754DC">
            <w:pPr>
              <w:pStyle w:val="ConsPlusNormal"/>
            </w:pPr>
          </w:p>
        </w:tc>
        <w:tc>
          <w:tcPr>
            <w:tcW w:w="6860" w:type="dxa"/>
            <w:tcBorders>
              <w:top w:val="nil"/>
              <w:bottom w:val="nil"/>
            </w:tcBorders>
          </w:tcPr>
          <w:p w:rsidR="005754DC" w:rsidRDefault="005754DC">
            <w:pPr>
              <w:pStyle w:val="ConsPlusNormal"/>
              <w:jc w:val="both"/>
            </w:pPr>
            <w:r>
              <w:t>в сети местной телефонной связи, не более;</w:t>
            </w:r>
          </w:p>
        </w:tc>
        <w:tc>
          <w:tcPr>
            <w:tcW w:w="1644" w:type="dxa"/>
            <w:tcBorders>
              <w:top w:val="nil"/>
              <w:bottom w:val="nil"/>
            </w:tcBorders>
          </w:tcPr>
          <w:p w:rsidR="005754DC" w:rsidRDefault="005754DC">
            <w:pPr>
              <w:pStyle w:val="ConsPlusNormal"/>
              <w:jc w:val="center"/>
            </w:pPr>
            <w:r>
              <w:t>2%</w:t>
            </w:r>
          </w:p>
        </w:tc>
      </w:tr>
      <w:tr w:rsidR="005754DC">
        <w:tblPrEx>
          <w:tblBorders>
            <w:insideH w:val="none" w:sz="0" w:space="0" w:color="auto"/>
          </w:tblBorders>
        </w:tblPrEx>
        <w:tc>
          <w:tcPr>
            <w:tcW w:w="557" w:type="dxa"/>
            <w:tcBorders>
              <w:top w:val="nil"/>
              <w:bottom w:val="nil"/>
            </w:tcBorders>
          </w:tcPr>
          <w:p w:rsidR="005754DC" w:rsidRDefault="005754DC">
            <w:pPr>
              <w:pStyle w:val="ConsPlusNormal"/>
            </w:pPr>
          </w:p>
        </w:tc>
        <w:tc>
          <w:tcPr>
            <w:tcW w:w="6860" w:type="dxa"/>
            <w:tcBorders>
              <w:top w:val="nil"/>
              <w:bottom w:val="nil"/>
            </w:tcBorders>
          </w:tcPr>
          <w:p w:rsidR="005754DC" w:rsidRDefault="005754DC">
            <w:pPr>
              <w:pStyle w:val="ConsPlusNormal"/>
              <w:jc w:val="both"/>
            </w:pPr>
            <w:r>
              <w:t>в сети зоновой телефонной связи, не более;</w:t>
            </w:r>
          </w:p>
        </w:tc>
        <w:tc>
          <w:tcPr>
            <w:tcW w:w="1644" w:type="dxa"/>
            <w:tcBorders>
              <w:top w:val="nil"/>
              <w:bottom w:val="nil"/>
            </w:tcBorders>
          </w:tcPr>
          <w:p w:rsidR="005754DC" w:rsidRDefault="005754DC">
            <w:pPr>
              <w:pStyle w:val="ConsPlusNormal"/>
              <w:jc w:val="center"/>
            </w:pPr>
            <w:r>
              <w:t>2%</w:t>
            </w:r>
          </w:p>
        </w:tc>
      </w:tr>
      <w:tr w:rsidR="005754DC">
        <w:tblPrEx>
          <w:tblBorders>
            <w:insideH w:val="none" w:sz="0" w:space="0" w:color="auto"/>
          </w:tblBorders>
        </w:tblPrEx>
        <w:tc>
          <w:tcPr>
            <w:tcW w:w="557" w:type="dxa"/>
            <w:tcBorders>
              <w:top w:val="nil"/>
              <w:bottom w:val="nil"/>
            </w:tcBorders>
          </w:tcPr>
          <w:p w:rsidR="005754DC" w:rsidRDefault="005754DC">
            <w:pPr>
              <w:pStyle w:val="ConsPlusNormal"/>
            </w:pPr>
          </w:p>
        </w:tc>
        <w:tc>
          <w:tcPr>
            <w:tcW w:w="6860" w:type="dxa"/>
            <w:tcBorders>
              <w:top w:val="nil"/>
              <w:bottom w:val="nil"/>
            </w:tcBorders>
          </w:tcPr>
          <w:p w:rsidR="005754DC" w:rsidRDefault="005754DC">
            <w:pPr>
              <w:pStyle w:val="ConsPlusNormal"/>
              <w:jc w:val="both"/>
            </w:pPr>
            <w:r>
              <w:t>в сети междугородной и международной телефонной связи, не более;</w:t>
            </w:r>
          </w:p>
        </w:tc>
        <w:tc>
          <w:tcPr>
            <w:tcW w:w="1644" w:type="dxa"/>
            <w:tcBorders>
              <w:top w:val="nil"/>
              <w:bottom w:val="nil"/>
            </w:tcBorders>
          </w:tcPr>
          <w:p w:rsidR="005754DC" w:rsidRDefault="005754DC">
            <w:pPr>
              <w:pStyle w:val="ConsPlusNormal"/>
              <w:jc w:val="center"/>
            </w:pPr>
            <w:r>
              <w:t>2%</w:t>
            </w:r>
          </w:p>
        </w:tc>
      </w:tr>
      <w:tr w:rsidR="005754DC">
        <w:tblPrEx>
          <w:tblBorders>
            <w:insideH w:val="none" w:sz="0" w:space="0" w:color="auto"/>
          </w:tblBorders>
        </w:tblPrEx>
        <w:tc>
          <w:tcPr>
            <w:tcW w:w="557" w:type="dxa"/>
            <w:tcBorders>
              <w:top w:val="nil"/>
              <w:bottom w:val="nil"/>
            </w:tcBorders>
          </w:tcPr>
          <w:p w:rsidR="005754DC" w:rsidRDefault="005754DC">
            <w:pPr>
              <w:pStyle w:val="ConsPlusNormal"/>
            </w:pPr>
          </w:p>
        </w:tc>
        <w:tc>
          <w:tcPr>
            <w:tcW w:w="6860" w:type="dxa"/>
            <w:tcBorders>
              <w:top w:val="nil"/>
              <w:bottom w:val="nil"/>
            </w:tcBorders>
          </w:tcPr>
          <w:p w:rsidR="005754DC" w:rsidRDefault="005754DC">
            <w:pPr>
              <w:pStyle w:val="ConsPlusNormal"/>
              <w:jc w:val="both"/>
            </w:pPr>
            <w:r>
              <w:t>в сети подвижной радиотелефонной связи, не более;</w:t>
            </w:r>
          </w:p>
        </w:tc>
        <w:tc>
          <w:tcPr>
            <w:tcW w:w="1644" w:type="dxa"/>
            <w:tcBorders>
              <w:top w:val="nil"/>
              <w:bottom w:val="nil"/>
            </w:tcBorders>
          </w:tcPr>
          <w:p w:rsidR="005754DC" w:rsidRDefault="005754DC">
            <w:pPr>
              <w:pStyle w:val="ConsPlusNormal"/>
              <w:jc w:val="center"/>
            </w:pPr>
            <w:r>
              <w:t>5%</w:t>
            </w:r>
          </w:p>
        </w:tc>
      </w:tr>
      <w:tr w:rsidR="005754DC">
        <w:tblPrEx>
          <w:tblBorders>
            <w:insideH w:val="none" w:sz="0" w:space="0" w:color="auto"/>
          </w:tblBorders>
        </w:tblPrEx>
        <w:tc>
          <w:tcPr>
            <w:tcW w:w="557" w:type="dxa"/>
            <w:tcBorders>
              <w:top w:val="nil"/>
              <w:bottom w:val="nil"/>
            </w:tcBorders>
          </w:tcPr>
          <w:p w:rsidR="005754DC" w:rsidRDefault="005754DC">
            <w:pPr>
              <w:pStyle w:val="ConsPlusNormal"/>
            </w:pPr>
          </w:p>
        </w:tc>
        <w:tc>
          <w:tcPr>
            <w:tcW w:w="6860" w:type="dxa"/>
            <w:tcBorders>
              <w:top w:val="nil"/>
              <w:bottom w:val="nil"/>
            </w:tcBorders>
          </w:tcPr>
          <w:p w:rsidR="005754DC" w:rsidRDefault="005754DC">
            <w:pPr>
              <w:pStyle w:val="ConsPlusNormal"/>
              <w:jc w:val="both"/>
            </w:pPr>
            <w:r>
              <w:t>в сети фиксированной телефонной связи на участке от пользовательского (оконечного) оборудования до узла обслуживания вызовов экстренных оперативных служб, не более;</w:t>
            </w:r>
          </w:p>
        </w:tc>
        <w:tc>
          <w:tcPr>
            <w:tcW w:w="1644" w:type="dxa"/>
            <w:tcBorders>
              <w:top w:val="nil"/>
              <w:bottom w:val="nil"/>
            </w:tcBorders>
          </w:tcPr>
          <w:p w:rsidR="005754DC" w:rsidRDefault="005754DC">
            <w:pPr>
              <w:pStyle w:val="ConsPlusNormal"/>
              <w:jc w:val="center"/>
            </w:pPr>
            <w:r>
              <w:t>0,1%</w:t>
            </w:r>
          </w:p>
        </w:tc>
      </w:tr>
      <w:tr w:rsidR="005754DC">
        <w:tblPrEx>
          <w:tblBorders>
            <w:insideH w:val="none" w:sz="0" w:space="0" w:color="auto"/>
          </w:tblBorders>
        </w:tblPrEx>
        <w:tc>
          <w:tcPr>
            <w:tcW w:w="557" w:type="dxa"/>
            <w:tcBorders>
              <w:top w:val="nil"/>
              <w:bottom w:val="single" w:sz="4" w:space="0" w:color="auto"/>
            </w:tcBorders>
          </w:tcPr>
          <w:p w:rsidR="005754DC" w:rsidRDefault="005754DC">
            <w:pPr>
              <w:pStyle w:val="ConsPlusNormal"/>
            </w:pPr>
          </w:p>
        </w:tc>
        <w:tc>
          <w:tcPr>
            <w:tcW w:w="6860" w:type="dxa"/>
            <w:tcBorders>
              <w:top w:val="nil"/>
              <w:bottom w:val="single" w:sz="4" w:space="0" w:color="auto"/>
            </w:tcBorders>
          </w:tcPr>
          <w:p w:rsidR="005754DC" w:rsidRDefault="005754DC">
            <w:pPr>
              <w:pStyle w:val="ConsPlusNormal"/>
              <w:jc w:val="both"/>
            </w:pPr>
            <w:proofErr w:type="gramStart"/>
            <w:r>
              <w:t>в сети подвижной радиотелефонной связи на участке от обслуживающей базовой станции до узла обслуживания вызовов экстренных оперативных служб при успешном выделении</w:t>
            </w:r>
            <w:proofErr w:type="gramEnd"/>
            <w:r>
              <w:t xml:space="preserve"> радиоканала по процедуре нормального (SETUP) или экстренного (EMERGENCY SETUP) установления исходящего соединения, в том числе в отсутствие регистрации абонентской станции (абонентского устройства) в обслуживающей сети, не более</w:t>
            </w:r>
          </w:p>
        </w:tc>
        <w:tc>
          <w:tcPr>
            <w:tcW w:w="1644" w:type="dxa"/>
            <w:tcBorders>
              <w:top w:val="nil"/>
              <w:bottom w:val="single" w:sz="4" w:space="0" w:color="auto"/>
            </w:tcBorders>
          </w:tcPr>
          <w:p w:rsidR="005754DC" w:rsidRDefault="005754DC">
            <w:pPr>
              <w:pStyle w:val="ConsPlusNormal"/>
              <w:jc w:val="center"/>
            </w:pPr>
            <w:r>
              <w:t>0,1%</w:t>
            </w:r>
          </w:p>
        </w:tc>
      </w:tr>
      <w:tr w:rsidR="005754DC">
        <w:tc>
          <w:tcPr>
            <w:tcW w:w="557" w:type="dxa"/>
            <w:tcBorders>
              <w:top w:val="single" w:sz="4" w:space="0" w:color="auto"/>
              <w:bottom w:val="single" w:sz="4" w:space="0" w:color="auto"/>
            </w:tcBorders>
          </w:tcPr>
          <w:p w:rsidR="005754DC" w:rsidRDefault="005754DC">
            <w:pPr>
              <w:pStyle w:val="ConsPlusNormal"/>
            </w:pPr>
            <w:r>
              <w:t>2.</w:t>
            </w:r>
          </w:p>
        </w:tc>
        <w:tc>
          <w:tcPr>
            <w:tcW w:w="6860" w:type="dxa"/>
            <w:tcBorders>
              <w:top w:val="single" w:sz="4" w:space="0" w:color="auto"/>
              <w:bottom w:val="single" w:sz="4" w:space="0" w:color="auto"/>
            </w:tcBorders>
          </w:tcPr>
          <w:p w:rsidR="005754DC" w:rsidRDefault="005754DC">
            <w:pPr>
              <w:pStyle w:val="ConsPlusNormal"/>
              <w:jc w:val="both"/>
            </w:pPr>
            <w:r>
              <w:t xml:space="preserve">Доля недоставленных в центр </w:t>
            </w:r>
            <w:proofErr w:type="gramStart"/>
            <w:r>
              <w:t>обработки вызовов системы обеспечения вызова экстренных оперативных служб</w:t>
            </w:r>
            <w:proofErr w:type="gramEnd"/>
            <w:r>
              <w:t xml:space="preserve"> по единому номеру "112" либо в центр обработки вызовов экстренных оперативных служб коротких текстовых сообщений в сети подвижной связи от центра обработки коротких текстовых сообщений оператора связи, не более</w:t>
            </w:r>
          </w:p>
        </w:tc>
        <w:tc>
          <w:tcPr>
            <w:tcW w:w="1644" w:type="dxa"/>
            <w:tcBorders>
              <w:top w:val="single" w:sz="4" w:space="0" w:color="auto"/>
              <w:bottom w:val="single" w:sz="4" w:space="0" w:color="auto"/>
            </w:tcBorders>
            <w:vAlign w:val="center"/>
          </w:tcPr>
          <w:p w:rsidR="005754DC" w:rsidRDefault="005754DC">
            <w:pPr>
              <w:pStyle w:val="ConsPlusNormal"/>
              <w:jc w:val="center"/>
            </w:pPr>
            <w:r>
              <w:t>1%</w:t>
            </w:r>
          </w:p>
        </w:tc>
      </w:tr>
      <w:tr w:rsidR="005754DC">
        <w:tc>
          <w:tcPr>
            <w:tcW w:w="557" w:type="dxa"/>
            <w:tcBorders>
              <w:top w:val="single" w:sz="4" w:space="0" w:color="auto"/>
              <w:bottom w:val="single" w:sz="4" w:space="0" w:color="auto"/>
            </w:tcBorders>
          </w:tcPr>
          <w:p w:rsidR="005754DC" w:rsidRDefault="005754DC">
            <w:pPr>
              <w:pStyle w:val="ConsPlusNormal"/>
            </w:pPr>
            <w:r>
              <w:t>3.</w:t>
            </w:r>
          </w:p>
        </w:tc>
        <w:tc>
          <w:tcPr>
            <w:tcW w:w="6860" w:type="dxa"/>
            <w:tcBorders>
              <w:top w:val="single" w:sz="4" w:space="0" w:color="auto"/>
              <w:bottom w:val="single" w:sz="4" w:space="0" w:color="auto"/>
            </w:tcBorders>
          </w:tcPr>
          <w:p w:rsidR="005754DC" w:rsidRDefault="005754DC">
            <w:pPr>
              <w:pStyle w:val="ConsPlusNormal"/>
              <w:jc w:val="both"/>
            </w:pPr>
            <w:r>
              <w:t xml:space="preserve">Время с начала передачи информации о занятии абонентской линии до момента получения пользовательским (оконечным) оборудованием от оконечного узла </w:t>
            </w:r>
            <w:proofErr w:type="gramStart"/>
            <w:r>
              <w:t>связи сети местной телефонной связи сигнала готовности</w:t>
            </w:r>
            <w:proofErr w:type="gramEnd"/>
            <w:r>
              <w:t xml:space="preserve"> к приему номера (время отклика узла связи), с, не более</w:t>
            </w:r>
          </w:p>
        </w:tc>
        <w:tc>
          <w:tcPr>
            <w:tcW w:w="1644" w:type="dxa"/>
            <w:tcBorders>
              <w:top w:val="single" w:sz="4" w:space="0" w:color="auto"/>
              <w:bottom w:val="single" w:sz="4" w:space="0" w:color="auto"/>
            </w:tcBorders>
            <w:vAlign w:val="center"/>
          </w:tcPr>
          <w:p w:rsidR="005754DC" w:rsidRDefault="005754DC">
            <w:pPr>
              <w:pStyle w:val="ConsPlusNormal"/>
              <w:jc w:val="center"/>
            </w:pPr>
            <w:r>
              <w:t>2</w:t>
            </w:r>
          </w:p>
        </w:tc>
      </w:tr>
      <w:tr w:rsidR="005754DC">
        <w:tblPrEx>
          <w:tblBorders>
            <w:insideH w:val="none" w:sz="0" w:space="0" w:color="auto"/>
          </w:tblBorders>
        </w:tblPrEx>
        <w:tc>
          <w:tcPr>
            <w:tcW w:w="557" w:type="dxa"/>
            <w:tcBorders>
              <w:top w:val="single" w:sz="4" w:space="0" w:color="auto"/>
              <w:bottom w:val="nil"/>
            </w:tcBorders>
          </w:tcPr>
          <w:p w:rsidR="005754DC" w:rsidRDefault="005754DC">
            <w:pPr>
              <w:pStyle w:val="ConsPlusNormal"/>
            </w:pPr>
            <w:r>
              <w:lastRenderedPageBreak/>
              <w:t>4.</w:t>
            </w:r>
          </w:p>
        </w:tc>
        <w:tc>
          <w:tcPr>
            <w:tcW w:w="6860" w:type="dxa"/>
            <w:tcBorders>
              <w:top w:val="single" w:sz="4" w:space="0" w:color="auto"/>
              <w:bottom w:val="nil"/>
            </w:tcBorders>
          </w:tcPr>
          <w:p w:rsidR="005754DC" w:rsidRDefault="005754DC">
            <w:pPr>
              <w:pStyle w:val="ConsPlusNormal"/>
              <w:jc w:val="both"/>
            </w:pPr>
            <w:r>
              <w:t>Время с момента, когда пользовательское (оконечное) оборудование вызывающего абонента или пользователя услугой связи передало всю информацию, необходимую для установления соединения, до момента, когда это оборудование получило от узла связи сигнал о состоянии пользовательского (оконечного) оборудования вызываемого абонента или пользователя услугой связи (время установления соединения):</w:t>
            </w:r>
          </w:p>
        </w:tc>
        <w:tc>
          <w:tcPr>
            <w:tcW w:w="1644" w:type="dxa"/>
            <w:tcBorders>
              <w:top w:val="single" w:sz="4" w:space="0" w:color="auto"/>
              <w:bottom w:val="nil"/>
            </w:tcBorders>
          </w:tcPr>
          <w:p w:rsidR="005754DC" w:rsidRDefault="005754DC">
            <w:pPr>
              <w:pStyle w:val="ConsPlusNormal"/>
            </w:pPr>
          </w:p>
        </w:tc>
      </w:tr>
      <w:tr w:rsidR="005754DC">
        <w:tblPrEx>
          <w:tblBorders>
            <w:insideH w:val="none" w:sz="0" w:space="0" w:color="auto"/>
          </w:tblBorders>
        </w:tblPrEx>
        <w:tc>
          <w:tcPr>
            <w:tcW w:w="557" w:type="dxa"/>
            <w:tcBorders>
              <w:top w:val="nil"/>
              <w:bottom w:val="nil"/>
            </w:tcBorders>
          </w:tcPr>
          <w:p w:rsidR="005754DC" w:rsidRDefault="005754DC">
            <w:pPr>
              <w:pStyle w:val="ConsPlusNormal"/>
            </w:pPr>
          </w:p>
        </w:tc>
        <w:tc>
          <w:tcPr>
            <w:tcW w:w="6860" w:type="dxa"/>
            <w:tcBorders>
              <w:top w:val="nil"/>
              <w:bottom w:val="nil"/>
            </w:tcBorders>
          </w:tcPr>
          <w:p w:rsidR="005754DC" w:rsidRDefault="005754DC">
            <w:pPr>
              <w:pStyle w:val="ConsPlusNormal"/>
              <w:jc w:val="both"/>
            </w:pPr>
            <w:r>
              <w:t xml:space="preserve">в сети местной телефонной связи, </w:t>
            </w:r>
            <w:proofErr w:type="gramStart"/>
            <w:r>
              <w:t>с</w:t>
            </w:r>
            <w:proofErr w:type="gramEnd"/>
            <w:r>
              <w:t>, не более;</w:t>
            </w:r>
          </w:p>
        </w:tc>
        <w:tc>
          <w:tcPr>
            <w:tcW w:w="1644" w:type="dxa"/>
            <w:tcBorders>
              <w:top w:val="nil"/>
              <w:bottom w:val="nil"/>
            </w:tcBorders>
          </w:tcPr>
          <w:p w:rsidR="005754DC" w:rsidRDefault="005754DC">
            <w:pPr>
              <w:pStyle w:val="ConsPlusNormal"/>
              <w:jc w:val="center"/>
            </w:pPr>
            <w:r>
              <w:t>6,6</w:t>
            </w:r>
          </w:p>
        </w:tc>
      </w:tr>
      <w:tr w:rsidR="005754DC">
        <w:tblPrEx>
          <w:tblBorders>
            <w:insideH w:val="none" w:sz="0" w:space="0" w:color="auto"/>
          </w:tblBorders>
        </w:tblPrEx>
        <w:tc>
          <w:tcPr>
            <w:tcW w:w="557" w:type="dxa"/>
            <w:tcBorders>
              <w:top w:val="nil"/>
              <w:bottom w:val="nil"/>
            </w:tcBorders>
          </w:tcPr>
          <w:p w:rsidR="005754DC" w:rsidRDefault="005754DC">
            <w:pPr>
              <w:pStyle w:val="ConsPlusNormal"/>
            </w:pPr>
          </w:p>
        </w:tc>
        <w:tc>
          <w:tcPr>
            <w:tcW w:w="6860" w:type="dxa"/>
            <w:tcBorders>
              <w:top w:val="nil"/>
              <w:bottom w:val="nil"/>
            </w:tcBorders>
          </w:tcPr>
          <w:p w:rsidR="005754DC" w:rsidRDefault="005754DC">
            <w:pPr>
              <w:pStyle w:val="ConsPlusNormal"/>
              <w:jc w:val="both"/>
            </w:pPr>
            <w:r>
              <w:t xml:space="preserve">в сети зоновой телефонной связи (за исключением сети подвижной радиотелефонной связи), </w:t>
            </w:r>
            <w:proofErr w:type="gramStart"/>
            <w:r>
              <w:t>с</w:t>
            </w:r>
            <w:proofErr w:type="gramEnd"/>
            <w:r>
              <w:t>, не более;</w:t>
            </w:r>
          </w:p>
        </w:tc>
        <w:tc>
          <w:tcPr>
            <w:tcW w:w="1644" w:type="dxa"/>
            <w:tcBorders>
              <w:top w:val="nil"/>
              <w:bottom w:val="nil"/>
            </w:tcBorders>
          </w:tcPr>
          <w:p w:rsidR="005754DC" w:rsidRDefault="005754DC">
            <w:pPr>
              <w:pStyle w:val="ConsPlusNormal"/>
              <w:jc w:val="center"/>
            </w:pPr>
            <w:r>
              <w:t>2,7</w:t>
            </w:r>
          </w:p>
        </w:tc>
      </w:tr>
      <w:tr w:rsidR="005754DC">
        <w:tblPrEx>
          <w:tblBorders>
            <w:insideH w:val="none" w:sz="0" w:space="0" w:color="auto"/>
          </w:tblBorders>
        </w:tblPrEx>
        <w:tc>
          <w:tcPr>
            <w:tcW w:w="557" w:type="dxa"/>
            <w:tcBorders>
              <w:top w:val="nil"/>
              <w:bottom w:val="single" w:sz="4" w:space="0" w:color="auto"/>
            </w:tcBorders>
          </w:tcPr>
          <w:p w:rsidR="005754DC" w:rsidRDefault="005754DC">
            <w:pPr>
              <w:pStyle w:val="ConsPlusNormal"/>
            </w:pPr>
          </w:p>
        </w:tc>
        <w:tc>
          <w:tcPr>
            <w:tcW w:w="6860" w:type="dxa"/>
            <w:tcBorders>
              <w:top w:val="nil"/>
              <w:bottom w:val="single" w:sz="4" w:space="0" w:color="auto"/>
            </w:tcBorders>
          </w:tcPr>
          <w:p w:rsidR="005754DC" w:rsidRDefault="005754DC">
            <w:pPr>
              <w:pStyle w:val="ConsPlusNormal"/>
              <w:jc w:val="both"/>
            </w:pPr>
            <w:r>
              <w:t xml:space="preserve">в сети междугородной и международной телефонной связи, </w:t>
            </w:r>
            <w:proofErr w:type="gramStart"/>
            <w:r>
              <w:t>с</w:t>
            </w:r>
            <w:proofErr w:type="gramEnd"/>
            <w:r>
              <w:t>, не более</w:t>
            </w:r>
          </w:p>
        </w:tc>
        <w:tc>
          <w:tcPr>
            <w:tcW w:w="1644" w:type="dxa"/>
            <w:tcBorders>
              <w:top w:val="nil"/>
              <w:bottom w:val="single" w:sz="4" w:space="0" w:color="auto"/>
            </w:tcBorders>
          </w:tcPr>
          <w:p w:rsidR="005754DC" w:rsidRDefault="005754DC">
            <w:pPr>
              <w:pStyle w:val="ConsPlusNormal"/>
              <w:jc w:val="center"/>
            </w:pPr>
            <w:r>
              <w:t>5,4</w:t>
            </w:r>
          </w:p>
        </w:tc>
      </w:tr>
      <w:tr w:rsidR="005754DC">
        <w:tblPrEx>
          <w:tblBorders>
            <w:insideH w:val="none" w:sz="0" w:space="0" w:color="auto"/>
          </w:tblBorders>
        </w:tblPrEx>
        <w:tc>
          <w:tcPr>
            <w:tcW w:w="557" w:type="dxa"/>
            <w:tcBorders>
              <w:top w:val="single" w:sz="4" w:space="0" w:color="auto"/>
              <w:bottom w:val="nil"/>
            </w:tcBorders>
          </w:tcPr>
          <w:p w:rsidR="005754DC" w:rsidRDefault="005754DC">
            <w:pPr>
              <w:pStyle w:val="ConsPlusNormal"/>
            </w:pPr>
            <w:r>
              <w:t>5.</w:t>
            </w:r>
          </w:p>
        </w:tc>
        <w:tc>
          <w:tcPr>
            <w:tcW w:w="6860" w:type="dxa"/>
            <w:tcBorders>
              <w:top w:val="single" w:sz="4" w:space="0" w:color="auto"/>
              <w:bottom w:val="nil"/>
            </w:tcBorders>
          </w:tcPr>
          <w:p w:rsidR="005754DC" w:rsidRDefault="005754DC">
            <w:pPr>
              <w:pStyle w:val="ConsPlusNormal"/>
              <w:jc w:val="both"/>
            </w:pPr>
            <w:proofErr w:type="gramStart"/>
            <w:r>
              <w:t>Время с момента получения пользовательским (оконечным) оборудованием вызывающего абонента или пользователя услугой связи от узла связи сети местной телефонной связи информации об ответе от пользовательского (оконечного) оборудования вызываемого абонента или пользователя услугой связи до момента установления соединения между пользовательским (оконечным) оборудованием вызывающего и вызываемого абонента или пользователя услугой связи (время выполнения соединения):</w:t>
            </w:r>
            <w:proofErr w:type="gramEnd"/>
          </w:p>
        </w:tc>
        <w:tc>
          <w:tcPr>
            <w:tcW w:w="1644" w:type="dxa"/>
            <w:tcBorders>
              <w:top w:val="single" w:sz="4" w:space="0" w:color="auto"/>
              <w:bottom w:val="nil"/>
            </w:tcBorders>
          </w:tcPr>
          <w:p w:rsidR="005754DC" w:rsidRDefault="005754DC">
            <w:pPr>
              <w:pStyle w:val="ConsPlusNormal"/>
            </w:pPr>
          </w:p>
        </w:tc>
      </w:tr>
      <w:tr w:rsidR="005754DC">
        <w:tblPrEx>
          <w:tblBorders>
            <w:insideH w:val="none" w:sz="0" w:space="0" w:color="auto"/>
          </w:tblBorders>
        </w:tblPrEx>
        <w:tc>
          <w:tcPr>
            <w:tcW w:w="557" w:type="dxa"/>
            <w:tcBorders>
              <w:top w:val="nil"/>
              <w:bottom w:val="nil"/>
            </w:tcBorders>
          </w:tcPr>
          <w:p w:rsidR="005754DC" w:rsidRDefault="005754DC">
            <w:pPr>
              <w:pStyle w:val="ConsPlusNormal"/>
            </w:pPr>
          </w:p>
        </w:tc>
        <w:tc>
          <w:tcPr>
            <w:tcW w:w="6860" w:type="dxa"/>
            <w:tcBorders>
              <w:top w:val="nil"/>
              <w:bottom w:val="nil"/>
            </w:tcBorders>
          </w:tcPr>
          <w:p w:rsidR="005754DC" w:rsidRDefault="005754DC">
            <w:pPr>
              <w:pStyle w:val="ConsPlusNormal"/>
              <w:jc w:val="both"/>
            </w:pPr>
            <w:r>
              <w:t xml:space="preserve">в сети местной телефонной связи, </w:t>
            </w:r>
            <w:proofErr w:type="gramStart"/>
            <w:r>
              <w:t>с</w:t>
            </w:r>
            <w:proofErr w:type="gramEnd"/>
            <w:r>
              <w:t>, не более;</w:t>
            </w:r>
          </w:p>
        </w:tc>
        <w:tc>
          <w:tcPr>
            <w:tcW w:w="1644" w:type="dxa"/>
            <w:tcBorders>
              <w:top w:val="nil"/>
              <w:bottom w:val="nil"/>
            </w:tcBorders>
          </w:tcPr>
          <w:p w:rsidR="005754DC" w:rsidRDefault="005754DC">
            <w:pPr>
              <w:pStyle w:val="ConsPlusNormal"/>
              <w:jc w:val="center"/>
            </w:pPr>
            <w:r>
              <w:t>1,5</w:t>
            </w:r>
          </w:p>
        </w:tc>
      </w:tr>
      <w:tr w:rsidR="005754DC">
        <w:tblPrEx>
          <w:tblBorders>
            <w:insideH w:val="none" w:sz="0" w:space="0" w:color="auto"/>
          </w:tblBorders>
        </w:tblPrEx>
        <w:tc>
          <w:tcPr>
            <w:tcW w:w="557" w:type="dxa"/>
            <w:tcBorders>
              <w:top w:val="nil"/>
              <w:bottom w:val="nil"/>
            </w:tcBorders>
          </w:tcPr>
          <w:p w:rsidR="005754DC" w:rsidRDefault="005754DC">
            <w:pPr>
              <w:pStyle w:val="ConsPlusNormal"/>
            </w:pPr>
          </w:p>
        </w:tc>
        <w:tc>
          <w:tcPr>
            <w:tcW w:w="6860" w:type="dxa"/>
            <w:tcBorders>
              <w:top w:val="nil"/>
              <w:bottom w:val="nil"/>
            </w:tcBorders>
          </w:tcPr>
          <w:p w:rsidR="005754DC" w:rsidRDefault="005754DC">
            <w:pPr>
              <w:pStyle w:val="ConsPlusNormal"/>
              <w:jc w:val="both"/>
            </w:pPr>
            <w:r>
              <w:t xml:space="preserve">в сети зоновой телефонной связи (за исключением сети подвижной радиотелефонной связи), </w:t>
            </w:r>
            <w:proofErr w:type="gramStart"/>
            <w:r>
              <w:t>с</w:t>
            </w:r>
            <w:proofErr w:type="gramEnd"/>
            <w:r>
              <w:t>, не более;</w:t>
            </w:r>
          </w:p>
        </w:tc>
        <w:tc>
          <w:tcPr>
            <w:tcW w:w="1644" w:type="dxa"/>
            <w:tcBorders>
              <w:top w:val="nil"/>
              <w:bottom w:val="nil"/>
            </w:tcBorders>
          </w:tcPr>
          <w:p w:rsidR="005754DC" w:rsidRDefault="005754DC">
            <w:pPr>
              <w:pStyle w:val="ConsPlusNormal"/>
              <w:jc w:val="center"/>
            </w:pPr>
            <w:r>
              <w:t>1</w:t>
            </w:r>
          </w:p>
        </w:tc>
      </w:tr>
      <w:tr w:rsidR="005754DC">
        <w:tblPrEx>
          <w:tblBorders>
            <w:insideH w:val="none" w:sz="0" w:space="0" w:color="auto"/>
          </w:tblBorders>
        </w:tblPrEx>
        <w:tc>
          <w:tcPr>
            <w:tcW w:w="557" w:type="dxa"/>
            <w:tcBorders>
              <w:top w:val="nil"/>
              <w:bottom w:val="single" w:sz="4" w:space="0" w:color="auto"/>
            </w:tcBorders>
          </w:tcPr>
          <w:p w:rsidR="005754DC" w:rsidRDefault="005754DC">
            <w:pPr>
              <w:pStyle w:val="ConsPlusNormal"/>
            </w:pPr>
          </w:p>
        </w:tc>
        <w:tc>
          <w:tcPr>
            <w:tcW w:w="6860" w:type="dxa"/>
            <w:tcBorders>
              <w:top w:val="nil"/>
              <w:bottom w:val="single" w:sz="4" w:space="0" w:color="auto"/>
            </w:tcBorders>
          </w:tcPr>
          <w:p w:rsidR="005754DC" w:rsidRDefault="005754DC">
            <w:pPr>
              <w:pStyle w:val="ConsPlusNormal"/>
              <w:jc w:val="both"/>
            </w:pPr>
            <w:r>
              <w:t xml:space="preserve">в сети междугородной и международной телефонной связи, </w:t>
            </w:r>
            <w:proofErr w:type="gramStart"/>
            <w:r>
              <w:t>с</w:t>
            </w:r>
            <w:proofErr w:type="gramEnd"/>
            <w:r>
              <w:t>, не более</w:t>
            </w:r>
          </w:p>
        </w:tc>
        <w:tc>
          <w:tcPr>
            <w:tcW w:w="1644" w:type="dxa"/>
            <w:tcBorders>
              <w:top w:val="nil"/>
              <w:bottom w:val="single" w:sz="4" w:space="0" w:color="auto"/>
            </w:tcBorders>
          </w:tcPr>
          <w:p w:rsidR="005754DC" w:rsidRDefault="005754DC">
            <w:pPr>
              <w:pStyle w:val="ConsPlusNormal"/>
              <w:jc w:val="center"/>
            </w:pPr>
            <w:r>
              <w:t>1</w:t>
            </w:r>
          </w:p>
        </w:tc>
      </w:tr>
      <w:tr w:rsidR="005754DC">
        <w:tc>
          <w:tcPr>
            <w:tcW w:w="557" w:type="dxa"/>
            <w:tcBorders>
              <w:top w:val="single" w:sz="4" w:space="0" w:color="auto"/>
              <w:bottom w:val="single" w:sz="4" w:space="0" w:color="auto"/>
            </w:tcBorders>
          </w:tcPr>
          <w:p w:rsidR="005754DC" w:rsidRDefault="005754DC">
            <w:pPr>
              <w:pStyle w:val="ConsPlusNormal"/>
            </w:pPr>
            <w:r>
              <w:t>6.</w:t>
            </w:r>
          </w:p>
        </w:tc>
        <w:tc>
          <w:tcPr>
            <w:tcW w:w="6860" w:type="dxa"/>
            <w:tcBorders>
              <w:top w:val="single" w:sz="4" w:space="0" w:color="auto"/>
              <w:bottom w:val="single" w:sz="4" w:space="0" w:color="auto"/>
            </w:tcBorders>
          </w:tcPr>
          <w:p w:rsidR="005754DC" w:rsidRDefault="005754DC">
            <w:pPr>
              <w:pStyle w:val="ConsPlusNormal"/>
              <w:jc w:val="both"/>
            </w:pPr>
            <w:r>
              <w:t xml:space="preserve">Время с момента, когда пользовательское (оконечное) оборудование абонента или пользователя услугой связи начало передавать узлу связи сети местной телефонной связи информацию, необходимую для разъединения, до момента, когда это оборудование переходит в состояние готовности к установлению нового соединения (время разъединения), </w:t>
            </w:r>
            <w:proofErr w:type="gramStart"/>
            <w:r>
              <w:t>с</w:t>
            </w:r>
            <w:proofErr w:type="gramEnd"/>
            <w:r>
              <w:t>, не более</w:t>
            </w:r>
          </w:p>
        </w:tc>
        <w:tc>
          <w:tcPr>
            <w:tcW w:w="1644" w:type="dxa"/>
            <w:tcBorders>
              <w:top w:val="single" w:sz="4" w:space="0" w:color="auto"/>
              <w:bottom w:val="single" w:sz="4" w:space="0" w:color="auto"/>
            </w:tcBorders>
          </w:tcPr>
          <w:p w:rsidR="005754DC" w:rsidRDefault="005754DC">
            <w:pPr>
              <w:pStyle w:val="ConsPlusNormal"/>
              <w:jc w:val="center"/>
            </w:pPr>
            <w:r>
              <w:t>1</w:t>
            </w:r>
          </w:p>
        </w:tc>
      </w:tr>
    </w:tbl>
    <w:p w:rsidR="005754DC" w:rsidRDefault="005754DC">
      <w:pPr>
        <w:pStyle w:val="ConsPlusNormal"/>
        <w:jc w:val="both"/>
      </w:pPr>
    </w:p>
    <w:p w:rsidR="005754DC" w:rsidRDefault="005754DC">
      <w:pPr>
        <w:pStyle w:val="ConsPlusTitle"/>
        <w:ind w:firstLine="540"/>
        <w:jc w:val="both"/>
        <w:outlineLvl w:val="2"/>
      </w:pPr>
      <w:r>
        <w:t>Таблица N 2. Параметры функционирования телеграфной сети связи и (или) сети "Телекс"</w:t>
      </w:r>
    </w:p>
    <w:p w:rsidR="005754DC" w:rsidRDefault="0057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860"/>
        <w:gridCol w:w="1644"/>
      </w:tblGrid>
      <w:tr w:rsidR="005754DC">
        <w:tc>
          <w:tcPr>
            <w:tcW w:w="557" w:type="dxa"/>
          </w:tcPr>
          <w:p w:rsidR="005754DC" w:rsidRDefault="005754DC">
            <w:pPr>
              <w:pStyle w:val="ConsPlusNormal"/>
              <w:jc w:val="center"/>
            </w:pPr>
            <w:r>
              <w:t xml:space="preserve">N </w:t>
            </w:r>
            <w:proofErr w:type="gramStart"/>
            <w:r>
              <w:t>п</w:t>
            </w:r>
            <w:proofErr w:type="gramEnd"/>
            <w:r>
              <w:t>/п</w:t>
            </w:r>
          </w:p>
        </w:tc>
        <w:tc>
          <w:tcPr>
            <w:tcW w:w="6860" w:type="dxa"/>
          </w:tcPr>
          <w:p w:rsidR="005754DC" w:rsidRDefault="005754DC">
            <w:pPr>
              <w:pStyle w:val="ConsPlusNormal"/>
              <w:jc w:val="center"/>
            </w:pPr>
            <w:r>
              <w:t>Наименование показателя</w:t>
            </w:r>
          </w:p>
        </w:tc>
        <w:tc>
          <w:tcPr>
            <w:tcW w:w="1644" w:type="dxa"/>
          </w:tcPr>
          <w:p w:rsidR="005754DC" w:rsidRDefault="005754DC">
            <w:pPr>
              <w:pStyle w:val="ConsPlusNormal"/>
              <w:jc w:val="center"/>
            </w:pPr>
            <w:r>
              <w:t>Норма (в час наибольшей нагрузки)</w:t>
            </w:r>
          </w:p>
        </w:tc>
      </w:tr>
      <w:tr w:rsidR="005754DC">
        <w:tc>
          <w:tcPr>
            <w:tcW w:w="557" w:type="dxa"/>
            <w:vAlign w:val="center"/>
          </w:tcPr>
          <w:p w:rsidR="005754DC" w:rsidRDefault="005754DC">
            <w:pPr>
              <w:pStyle w:val="ConsPlusNormal"/>
              <w:jc w:val="center"/>
            </w:pPr>
            <w:r>
              <w:t>1.</w:t>
            </w:r>
          </w:p>
        </w:tc>
        <w:tc>
          <w:tcPr>
            <w:tcW w:w="6860" w:type="dxa"/>
            <w:vAlign w:val="center"/>
          </w:tcPr>
          <w:p w:rsidR="005754DC" w:rsidRDefault="005754DC">
            <w:pPr>
              <w:pStyle w:val="ConsPlusNormal"/>
              <w:jc w:val="both"/>
            </w:pPr>
            <w:r>
              <w:t xml:space="preserve">Время отклика узла телеграфной сети связи и (или) сети "Телекс", </w:t>
            </w:r>
            <w:proofErr w:type="gramStart"/>
            <w:r>
              <w:t>с</w:t>
            </w:r>
            <w:proofErr w:type="gramEnd"/>
            <w:r>
              <w:t>, не более</w:t>
            </w:r>
          </w:p>
        </w:tc>
        <w:tc>
          <w:tcPr>
            <w:tcW w:w="1644" w:type="dxa"/>
            <w:vAlign w:val="center"/>
          </w:tcPr>
          <w:p w:rsidR="005754DC" w:rsidRDefault="005754DC">
            <w:pPr>
              <w:pStyle w:val="ConsPlusNormal"/>
              <w:jc w:val="center"/>
            </w:pPr>
            <w:r>
              <w:t>2</w:t>
            </w:r>
          </w:p>
        </w:tc>
      </w:tr>
      <w:tr w:rsidR="005754DC">
        <w:tc>
          <w:tcPr>
            <w:tcW w:w="557" w:type="dxa"/>
            <w:vAlign w:val="center"/>
          </w:tcPr>
          <w:p w:rsidR="005754DC" w:rsidRDefault="005754DC">
            <w:pPr>
              <w:pStyle w:val="ConsPlusNormal"/>
              <w:jc w:val="center"/>
            </w:pPr>
            <w:r>
              <w:t>2.</w:t>
            </w:r>
          </w:p>
        </w:tc>
        <w:tc>
          <w:tcPr>
            <w:tcW w:w="6860" w:type="dxa"/>
            <w:vAlign w:val="center"/>
          </w:tcPr>
          <w:p w:rsidR="005754DC" w:rsidRDefault="005754DC">
            <w:pPr>
              <w:pStyle w:val="ConsPlusNormal"/>
              <w:jc w:val="both"/>
            </w:pPr>
            <w:r>
              <w:t xml:space="preserve">Время установления соединения в телеграфной сети связи и (или) сети "Телекс", </w:t>
            </w:r>
            <w:proofErr w:type="gramStart"/>
            <w:r>
              <w:t>с</w:t>
            </w:r>
            <w:proofErr w:type="gramEnd"/>
            <w:r>
              <w:t>, не более</w:t>
            </w:r>
          </w:p>
        </w:tc>
        <w:tc>
          <w:tcPr>
            <w:tcW w:w="1644" w:type="dxa"/>
            <w:vAlign w:val="center"/>
          </w:tcPr>
          <w:p w:rsidR="005754DC" w:rsidRDefault="005754DC">
            <w:pPr>
              <w:pStyle w:val="ConsPlusNormal"/>
              <w:jc w:val="center"/>
            </w:pPr>
            <w:r>
              <w:t>20</w:t>
            </w:r>
          </w:p>
        </w:tc>
      </w:tr>
      <w:tr w:rsidR="005754DC">
        <w:tc>
          <w:tcPr>
            <w:tcW w:w="557" w:type="dxa"/>
            <w:vAlign w:val="center"/>
          </w:tcPr>
          <w:p w:rsidR="005754DC" w:rsidRDefault="005754DC">
            <w:pPr>
              <w:pStyle w:val="ConsPlusNormal"/>
              <w:jc w:val="center"/>
            </w:pPr>
            <w:r>
              <w:t>3.</w:t>
            </w:r>
          </w:p>
        </w:tc>
        <w:tc>
          <w:tcPr>
            <w:tcW w:w="6860" w:type="dxa"/>
            <w:vAlign w:val="center"/>
          </w:tcPr>
          <w:p w:rsidR="005754DC" w:rsidRDefault="005754DC">
            <w:pPr>
              <w:pStyle w:val="ConsPlusNormal"/>
              <w:jc w:val="both"/>
            </w:pPr>
            <w:r>
              <w:t xml:space="preserve">Время отклика узла телеграфной сети связи и (или) сети "Телекс", </w:t>
            </w:r>
            <w:proofErr w:type="gramStart"/>
            <w:r>
              <w:t>с</w:t>
            </w:r>
            <w:proofErr w:type="gramEnd"/>
            <w:r>
              <w:t>, не более</w:t>
            </w:r>
          </w:p>
        </w:tc>
        <w:tc>
          <w:tcPr>
            <w:tcW w:w="1644" w:type="dxa"/>
            <w:vAlign w:val="center"/>
          </w:tcPr>
          <w:p w:rsidR="005754DC" w:rsidRDefault="005754DC">
            <w:pPr>
              <w:pStyle w:val="ConsPlusNormal"/>
              <w:jc w:val="center"/>
            </w:pPr>
            <w:r>
              <w:t>4</w:t>
            </w:r>
          </w:p>
        </w:tc>
      </w:tr>
      <w:tr w:rsidR="005754DC">
        <w:tc>
          <w:tcPr>
            <w:tcW w:w="557" w:type="dxa"/>
            <w:vAlign w:val="center"/>
          </w:tcPr>
          <w:p w:rsidR="005754DC" w:rsidRDefault="005754DC">
            <w:pPr>
              <w:pStyle w:val="ConsPlusNormal"/>
              <w:jc w:val="center"/>
            </w:pPr>
            <w:r>
              <w:lastRenderedPageBreak/>
              <w:t>4.</w:t>
            </w:r>
          </w:p>
        </w:tc>
        <w:tc>
          <w:tcPr>
            <w:tcW w:w="6860" w:type="dxa"/>
            <w:vAlign w:val="center"/>
          </w:tcPr>
          <w:p w:rsidR="005754DC" w:rsidRDefault="005754DC">
            <w:pPr>
              <w:pStyle w:val="ConsPlusNormal"/>
              <w:jc w:val="both"/>
            </w:pPr>
            <w:r>
              <w:t>Время отклика узла телеграфной сети связи и (или) сети "Телекс", не более</w:t>
            </w:r>
          </w:p>
        </w:tc>
        <w:tc>
          <w:tcPr>
            <w:tcW w:w="1644" w:type="dxa"/>
            <w:vAlign w:val="center"/>
          </w:tcPr>
          <w:p w:rsidR="005754DC" w:rsidRDefault="005754DC">
            <w:pPr>
              <w:pStyle w:val="ConsPlusNormal"/>
              <w:jc w:val="center"/>
            </w:pPr>
            <w:r>
              <w:t>2%</w:t>
            </w:r>
          </w:p>
        </w:tc>
      </w:tr>
      <w:tr w:rsidR="005754DC">
        <w:tc>
          <w:tcPr>
            <w:tcW w:w="557" w:type="dxa"/>
          </w:tcPr>
          <w:p w:rsidR="005754DC" w:rsidRDefault="005754DC">
            <w:pPr>
              <w:pStyle w:val="ConsPlusNormal"/>
              <w:jc w:val="center"/>
            </w:pPr>
            <w:r>
              <w:t>5.</w:t>
            </w:r>
          </w:p>
        </w:tc>
        <w:tc>
          <w:tcPr>
            <w:tcW w:w="6860" w:type="dxa"/>
          </w:tcPr>
          <w:p w:rsidR="005754DC" w:rsidRDefault="005754DC">
            <w:pPr>
              <w:pStyle w:val="ConsPlusNormal"/>
              <w:jc w:val="both"/>
            </w:pPr>
            <w:r>
              <w:t>Вероятность искажения телеграфных сообщений по знакам, не более</w:t>
            </w:r>
          </w:p>
        </w:tc>
        <w:tc>
          <w:tcPr>
            <w:tcW w:w="1644" w:type="dxa"/>
          </w:tcPr>
          <w:p w:rsidR="005754DC" w:rsidRDefault="005754DC">
            <w:pPr>
              <w:pStyle w:val="ConsPlusNormal"/>
              <w:jc w:val="center"/>
            </w:pPr>
            <w:r>
              <w:t>2,5 · 10</w:t>
            </w:r>
            <w:r>
              <w:rPr>
                <w:vertAlign w:val="superscript"/>
              </w:rPr>
              <w:t>-3</w:t>
            </w:r>
          </w:p>
        </w:tc>
      </w:tr>
    </w:tbl>
    <w:p w:rsidR="005754DC" w:rsidRDefault="005754DC">
      <w:pPr>
        <w:pStyle w:val="ConsPlusNormal"/>
        <w:jc w:val="both"/>
      </w:pPr>
    </w:p>
    <w:p w:rsidR="005754DC" w:rsidRDefault="005754DC">
      <w:pPr>
        <w:pStyle w:val="ConsPlusTitle"/>
        <w:ind w:firstLine="540"/>
        <w:jc w:val="both"/>
        <w:outlineLvl w:val="2"/>
      </w:pPr>
      <w:r>
        <w:t>Таблица N 3. Параметры функционирования сетей передачи данных (за исключением сетей подвижной радиотелефонной связи стандартов GSM и UMTS)</w:t>
      </w:r>
    </w:p>
    <w:p w:rsidR="005754DC" w:rsidRDefault="0057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2154"/>
        <w:gridCol w:w="1276"/>
        <w:gridCol w:w="1276"/>
        <w:gridCol w:w="1276"/>
        <w:gridCol w:w="1276"/>
        <w:gridCol w:w="1276"/>
      </w:tblGrid>
      <w:tr w:rsidR="005754DC">
        <w:tc>
          <w:tcPr>
            <w:tcW w:w="528" w:type="dxa"/>
            <w:vMerge w:val="restart"/>
          </w:tcPr>
          <w:p w:rsidR="005754DC" w:rsidRDefault="005754DC">
            <w:pPr>
              <w:pStyle w:val="ConsPlusNormal"/>
              <w:jc w:val="center"/>
            </w:pPr>
            <w:r>
              <w:t xml:space="preserve">N </w:t>
            </w:r>
            <w:proofErr w:type="gramStart"/>
            <w:r>
              <w:t>п</w:t>
            </w:r>
            <w:proofErr w:type="gramEnd"/>
            <w:r>
              <w:t>/п</w:t>
            </w:r>
          </w:p>
        </w:tc>
        <w:tc>
          <w:tcPr>
            <w:tcW w:w="2154" w:type="dxa"/>
            <w:vMerge w:val="restart"/>
          </w:tcPr>
          <w:p w:rsidR="005754DC" w:rsidRDefault="005754DC">
            <w:pPr>
              <w:pStyle w:val="ConsPlusNormal"/>
              <w:jc w:val="center"/>
            </w:pPr>
            <w:r>
              <w:t>Наименование показателя</w:t>
            </w:r>
          </w:p>
        </w:tc>
        <w:tc>
          <w:tcPr>
            <w:tcW w:w="6380" w:type="dxa"/>
            <w:gridSpan w:val="5"/>
          </w:tcPr>
          <w:p w:rsidR="005754DC" w:rsidRDefault="005754DC">
            <w:pPr>
              <w:pStyle w:val="ConsPlusNormal"/>
              <w:jc w:val="center"/>
            </w:pPr>
            <w:r>
              <w:t>Тип передаваемого трафика:</w:t>
            </w:r>
          </w:p>
        </w:tc>
      </w:tr>
      <w:tr w:rsidR="005754DC">
        <w:tc>
          <w:tcPr>
            <w:tcW w:w="528" w:type="dxa"/>
            <w:vMerge/>
          </w:tcPr>
          <w:p w:rsidR="005754DC" w:rsidRDefault="005754DC">
            <w:pPr>
              <w:pStyle w:val="ConsPlusNormal"/>
            </w:pPr>
          </w:p>
        </w:tc>
        <w:tc>
          <w:tcPr>
            <w:tcW w:w="2154" w:type="dxa"/>
            <w:vMerge/>
          </w:tcPr>
          <w:p w:rsidR="005754DC" w:rsidRDefault="005754DC">
            <w:pPr>
              <w:pStyle w:val="ConsPlusNormal"/>
            </w:pPr>
          </w:p>
        </w:tc>
        <w:tc>
          <w:tcPr>
            <w:tcW w:w="1276" w:type="dxa"/>
          </w:tcPr>
          <w:p w:rsidR="005754DC" w:rsidRDefault="005754DC">
            <w:pPr>
              <w:pStyle w:val="ConsPlusNormal"/>
              <w:jc w:val="center"/>
            </w:pPr>
            <w:r>
              <w:t>трафик непосредственного взаимодействия пользователей услугой связи или пользовательского (оконечного) оборудования (далее - интерактивный трафик)</w:t>
            </w:r>
          </w:p>
        </w:tc>
        <w:tc>
          <w:tcPr>
            <w:tcW w:w="1276" w:type="dxa"/>
          </w:tcPr>
          <w:p w:rsidR="005754DC" w:rsidRDefault="005754DC">
            <w:pPr>
              <w:pStyle w:val="ConsPlusNormal"/>
              <w:jc w:val="center"/>
            </w:pPr>
            <w:r>
              <w:t>интерактивный трафик при использовании спутниковой линии связи</w:t>
            </w:r>
          </w:p>
        </w:tc>
        <w:tc>
          <w:tcPr>
            <w:tcW w:w="1276" w:type="dxa"/>
          </w:tcPr>
          <w:p w:rsidR="005754DC" w:rsidRDefault="005754DC">
            <w:pPr>
              <w:pStyle w:val="ConsPlusNormal"/>
              <w:jc w:val="center"/>
            </w:pPr>
            <w:r>
              <w:t>сигнальный трафик</w:t>
            </w:r>
          </w:p>
        </w:tc>
        <w:tc>
          <w:tcPr>
            <w:tcW w:w="1276" w:type="dxa"/>
          </w:tcPr>
          <w:p w:rsidR="005754DC" w:rsidRDefault="005754DC">
            <w:pPr>
              <w:pStyle w:val="ConsPlusNormal"/>
              <w:jc w:val="center"/>
            </w:pPr>
            <w:r>
              <w:t>трафик просмотра и (или) прослушивания информации по мере ее поступления в пользовательское (оконечное) оборудование (далее - потоковый трафик)</w:t>
            </w:r>
          </w:p>
        </w:tc>
        <w:tc>
          <w:tcPr>
            <w:tcW w:w="1276" w:type="dxa"/>
          </w:tcPr>
          <w:p w:rsidR="005754DC" w:rsidRDefault="005754DC">
            <w:pPr>
              <w:pStyle w:val="ConsPlusNormal"/>
              <w:jc w:val="center"/>
            </w:pPr>
            <w:r>
              <w:t>трафик передачи данных, за исключением интерактивного, сигнального и потокового трафика</w:t>
            </w:r>
          </w:p>
        </w:tc>
      </w:tr>
      <w:tr w:rsidR="005754DC">
        <w:tc>
          <w:tcPr>
            <w:tcW w:w="528" w:type="dxa"/>
          </w:tcPr>
          <w:p w:rsidR="005754DC" w:rsidRDefault="005754DC">
            <w:pPr>
              <w:pStyle w:val="ConsPlusNormal"/>
            </w:pPr>
            <w:r>
              <w:t>1.</w:t>
            </w:r>
          </w:p>
        </w:tc>
        <w:tc>
          <w:tcPr>
            <w:tcW w:w="2154" w:type="dxa"/>
            <w:vAlign w:val="bottom"/>
          </w:tcPr>
          <w:p w:rsidR="005754DC" w:rsidRDefault="005754DC">
            <w:pPr>
              <w:pStyle w:val="ConsPlusNormal"/>
            </w:pPr>
            <w:r>
              <w:t>Средняя задержка передачи пакетов информации, мс, не более</w:t>
            </w:r>
          </w:p>
        </w:tc>
        <w:tc>
          <w:tcPr>
            <w:tcW w:w="1276" w:type="dxa"/>
            <w:vAlign w:val="center"/>
          </w:tcPr>
          <w:p w:rsidR="005754DC" w:rsidRDefault="005754DC">
            <w:pPr>
              <w:pStyle w:val="ConsPlusNormal"/>
              <w:jc w:val="center"/>
            </w:pPr>
            <w:r>
              <w:t>100</w:t>
            </w:r>
          </w:p>
        </w:tc>
        <w:tc>
          <w:tcPr>
            <w:tcW w:w="1276" w:type="dxa"/>
            <w:vAlign w:val="center"/>
          </w:tcPr>
          <w:p w:rsidR="005754DC" w:rsidRDefault="005754DC">
            <w:pPr>
              <w:pStyle w:val="ConsPlusNormal"/>
              <w:jc w:val="center"/>
            </w:pPr>
            <w:r>
              <w:t>400</w:t>
            </w:r>
          </w:p>
        </w:tc>
        <w:tc>
          <w:tcPr>
            <w:tcW w:w="1276" w:type="dxa"/>
            <w:vAlign w:val="center"/>
          </w:tcPr>
          <w:p w:rsidR="005754DC" w:rsidRDefault="005754DC">
            <w:pPr>
              <w:pStyle w:val="ConsPlusNormal"/>
              <w:jc w:val="center"/>
            </w:pPr>
            <w:r>
              <w:t>100</w:t>
            </w:r>
          </w:p>
        </w:tc>
        <w:tc>
          <w:tcPr>
            <w:tcW w:w="1276" w:type="dxa"/>
            <w:vAlign w:val="center"/>
          </w:tcPr>
          <w:p w:rsidR="005754DC" w:rsidRDefault="005754DC">
            <w:pPr>
              <w:pStyle w:val="ConsPlusNormal"/>
              <w:jc w:val="center"/>
            </w:pPr>
            <w:r>
              <w:t>400</w:t>
            </w:r>
          </w:p>
        </w:tc>
        <w:tc>
          <w:tcPr>
            <w:tcW w:w="1276" w:type="dxa"/>
            <w:vAlign w:val="center"/>
          </w:tcPr>
          <w:p w:rsidR="005754DC" w:rsidRDefault="005754DC">
            <w:pPr>
              <w:pStyle w:val="ConsPlusNormal"/>
              <w:jc w:val="center"/>
            </w:pPr>
            <w:r>
              <w:t>1000</w:t>
            </w:r>
          </w:p>
        </w:tc>
      </w:tr>
      <w:tr w:rsidR="005754DC">
        <w:tc>
          <w:tcPr>
            <w:tcW w:w="528" w:type="dxa"/>
          </w:tcPr>
          <w:p w:rsidR="005754DC" w:rsidRDefault="005754DC">
            <w:pPr>
              <w:pStyle w:val="ConsPlusNormal"/>
            </w:pPr>
            <w:r>
              <w:t>2.</w:t>
            </w:r>
          </w:p>
        </w:tc>
        <w:tc>
          <w:tcPr>
            <w:tcW w:w="2154" w:type="dxa"/>
            <w:vAlign w:val="bottom"/>
          </w:tcPr>
          <w:p w:rsidR="005754DC" w:rsidRDefault="005754DC">
            <w:pPr>
              <w:pStyle w:val="ConsPlusNormal"/>
            </w:pPr>
            <w:r>
              <w:t>Отклонение от среднего значения задержки передачи пакетов информации, мс, не более</w:t>
            </w:r>
          </w:p>
        </w:tc>
        <w:tc>
          <w:tcPr>
            <w:tcW w:w="1276" w:type="dxa"/>
            <w:vAlign w:val="center"/>
          </w:tcPr>
          <w:p w:rsidR="005754DC" w:rsidRDefault="005754DC">
            <w:pPr>
              <w:pStyle w:val="ConsPlusNormal"/>
              <w:jc w:val="center"/>
            </w:pPr>
            <w:r>
              <w:t>50</w:t>
            </w:r>
          </w:p>
        </w:tc>
        <w:tc>
          <w:tcPr>
            <w:tcW w:w="1276" w:type="dxa"/>
            <w:vAlign w:val="center"/>
          </w:tcPr>
          <w:p w:rsidR="005754DC" w:rsidRDefault="005754DC">
            <w:pPr>
              <w:pStyle w:val="ConsPlusNormal"/>
              <w:jc w:val="center"/>
            </w:pPr>
            <w:r>
              <w:t>50</w:t>
            </w:r>
          </w:p>
        </w:tc>
        <w:tc>
          <w:tcPr>
            <w:tcW w:w="1276" w:type="dxa"/>
            <w:vAlign w:val="center"/>
          </w:tcPr>
          <w:p w:rsidR="005754DC" w:rsidRDefault="005754DC">
            <w:pPr>
              <w:pStyle w:val="ConsPlusNormal"/>
              <w:jc w:val="center"/>
            </w:pPr>
            <w:r>
              <w:t>-</w:t>
            </w:r>
          </w:p>
        </w:tc>
        <w:tc>
          <w:tcPr>
            <w:tcW w:w="1276" w:type="dxa"/>
            <w:vAlign w:val="center"/>
          </w:tcPr>
          <w:p w:rsidR="005754DC" w:rsidRDefault="005754DC">
            <w:pPr>
              <w:pStyle w:val="ConsPlusNormal"/>
              <w:jc w:val="center"/>
            </w:pPr>
            <w:r>
              <w:t>50</w:t>
            </w:r>
          </w:p>
        </w:tc>
        <w:tc>
          <w:tcPr>
            <w:tcW w:w="1276" w:type="dxa"/>
            <w:vAlign w:val="center"/>
          </w:tcPr>
          <w:p w:rsidR="005754DC" w:rsidRDefault="005754DC">
            <w:pPr>
              <w:pStyle w:val="ConsPlusNormal"/>
              <w:jc w:val="center"/>
            </w:pPr>
            <w:r>
              <w:t>-</w:t>
            </w:r>
          </w:p>
        </w:tc>
      </w:tr>
      <w:tr w:rsidR="005754DC">
        <w:tc>
          <w:tcPr>
            <w:tcW w:w="528" w:type="dxa"/>
          </w:tcPr>
          <w:p w:rsidR="005754DC" w:rsidRDefault="005754DC">
            <w:pPr>
              <w:pStyle w:val="ConsPlusNormal"/>
            </w:pPr>
            <w:r>
              <w:t>3.</w:t>
            </w:r>
          </w:p>
        </w:tc>
        <w:tc>
          <w:tcPr>
            <w:tcW w:w="2154" w:type="dxa"/>
            <w:vAlign w:val="bottom"/>
          </w:tcPr>
          <w:p w:rsidR="005754DC" w:rsidRDefault="005754DC">
            <w:pPr>
              <w:pStyle w:val="ConsPlusNormal"/>
            </w:pPr>
            <w:r>
              <w:t>Коэффициент потери пакетов информации, не более</w:t>
            </w:r>
          </w:p>
        </w:tc>
        <w:tc>
          <w:tcPr>
            <w:tcW w:w="1276" w:type="dxa"/>
            <w:vAlign w:val="center"/>
          </w:tcPr>
          <w:p w:rsidR="005754DC" w:rsidRDefault="005754DC">
            <w:pPr>
              <w:pStyle w:val="ConsPlusNormal"/>
              <w:jc w:val="center"/>
            </w:pPr>
            <w:r>
              <w:t>10</w:t>
            </w:r>
            <w:r>
              <w:rPr>
                <w:vertAlign w:val="superscript"/>
              </w:rPr>
              <w:t>-3</w:t>
            </w:r>
          </w:p>
        </w:tc>
        <w:tc>
          <w:tcPr>
            <w:tcW w:w="1276" w:type="dxa"/>
            <w:vAlign w:val="center"/>
          </w:tcPr>
          <w:p w:rsidR="005754DC" w:rsidRDefault="005754DC">
            <w:pPr>
              <w:pStyle w:val="ConsPlusNormal"/>
              <w:jc w:val="center"/>
            </w:pPr>
            <w:r>
              <w:t>10</w:t>
            </w:r>
            <w:r>
              <w:rPr>
                <w:vertAlign w:val="superscript"/>
              </w:rPr>
              <w:t>-3</w:t>
            </w:r>
          </w:p>
        </w:tc>
        <w:tc>
          <w:tcPr>
            <w:tcW w:w="1276" w:type="dxa"/>
            <w:vAlign w:val="center"/>
          </w:tcPr>
          <w:p w:rsidR="005754DC" w:rsidRDefault="005754DC">
            <w:pPr>
              <w:pStyle w:val="ConsPlusNormal"/>
              <w:jc w:val="center"/>
            </w:pPr>
            <w:r>
              <w:t>10</w:t>
            </w:r>
            <w:r>
              <w:rPr>
                <w:vertAlign w:val="superscript"/>
              </w:rPr>
              <w:t>-3</w:t>
            </w:r>
          </w:p>
        </w:tc>
        <w:tc>
          <w:tcPr>
            <w:tcW w:w="1276" w:type="dxa"/>
            <w:vAlign w:val="center"/>
          </w:tcPr>
          <w:p w:rsidR="005754DC" w:rsidRDefault="005754DC">
            <w:pPr>
              <w:pStyle w:val="ConsPlusNormal"/>
              <w:jc w:val="center"/>
            </w:pPr>
            <w:r>
              <w:t>10</w:t>
            </w:r>
            <w:r>
              <w:rPr>
                <w:vertAlign w:val="superscript"/>
              </w:rPr>
              <w:t>-3</w:t>
            </w:r>
          </w:p>
        </w:tc>
        <w:tc>
          <w:tcPr>
            <w:tcW w:w="1276" w:type="dxa"/>
            <w:vAlign w:val="center"/>
          </w:tcPr>
          <w:p w:rsidR="005754DC" w:rsidRDefault="005754DC">
            <w:pPr>
              <w:pStyle w:val="ConsPlusNormal"/>
              <w:jc w:val="center"/>
            </w:pPr>
            <w:r>
              <w:t>10</w:t>
            </w:r>
            <w:r>
              <w:rPr>
                <w:vertAlign w:val="superscript"/>
              </w:rPr>
              <w:t>-3</w:t>
            </w:r>
          </w:p>
        </w:tc>
      </w:tr>
      <w:tr w:rsidR="005754DC">
        <w:tc>
          <w:tcPr>
            <w:tcW w:w="528" w:type="dxa"/>
          </w:tcPr>
          <w:p w:rsidR="005754DC" w:rsidRDefault="005754DC">
            <w:pPr>
              <w:pStyle w:val="ConsPlusNormal"/>
            </w:pPr>
            <w:r>
              <w:t>4.</w:t>
            </w:r>
          </w:p>
        </w:tc>
        <w:tc>
          <w:tcPr>
            <w:tcW w:w="2154" w:type="dxa"/>
          </w:tcPr>
          <w:p w:rsidR="005754DC" w:rsidRDefault="005754DC">
            <w:pPr>
              <w:pStyle w:val="ConsPlusNormal"/>
            </w:pPr>
            <w:r>
              <w:t>Коэффициент ошибок в пакетах информации, не более</w:t>
            </w:r>
          </w:p>
        </w:tc>
        <w:tc>
          <w:tcPr>
            <w:tcW w:w="1276" w:type="dxa"/>
            <w:vAlign w:val="center"/>
          </w:tcPr>
          <w:p w:rsidR="005754DC" w:rsidRDefault="005754DC">
            <w:pPr>
              <w:pStyle w:val="ConsPlusNormal"/>
              <w:jc w:val="center"/>
            </w:pPr>
            <w:r>
              <w:t>10</w:t>
            </w:r>
            <w:r>
              <w:rPr>
                <w:vertAlign w:val="superscript"/>
              </w:rPr>
              <w:t>-4</w:t>
            </w:r>
          </w:p>
        </w:tc>
        <w:tc>
          <w:tcPr>
            <w:tcW w:w="1276" w:type="dxa"/>
            <w:vAlign w:val="center"/>
          </w:tcPr>
          <w:p w:rsidR="005754DC" w:rsidRDefault="005754DC">
            <w:pPr>
              <w:pStyle w:val="ConsPlusNormal"/>
              <w:jc w:val="center"/>
            </w:pPr>
            <w:r>
              <w:t>10</w:t>
            </w:r>
            <w:r>
              <w:rPr>
                <w:vertAlign w:val="superscript"/>
              </w:rPr>
              <w:t>-4</w:t>
            </w:r>
          </w:p>
        </w:tc>
        <w:tc>
          <w:tcPr>
            <w:tcW w:w="1276" w:type="dxa"/>
            <w:vAlign w:val="center"/>
          </w:tcPr>
          <w:p w:rsidR="005754DC" w:rsidRDefault="005754DC">
            <w:pPr>
              <w:pStyle w:val="ConsPlusNormal"/>
              <w:jc w:val="center"/>
            </w:pPr>
            <w:r>
              <w:t>10</w:t>
            </w:r>
            <w:r>
              <w:rPr>
                <w:vertAlign w:val="superscript"/>
              </w:rPr>
              <w:t>-4</w:t>
            </w:r>
          </w:p>
        </w:tc>
        <w:tc>
          <w:tcPr>
            <w:tcW w:w="1276" w:type="dxa"/>
            <w:vAlign w:val="center"/>
          </w:tcPr>
          <w:p w:rsidR="005754DC" w:rsidRDefault="005754DC">
            <w:pPr>
              <w:pStyle w:val="ConsPlusNormal"/>
              <w:jc w:val="center"/>
            </w:pPr>
            <w:r>
              <w:t>10</w:t>
            </w:r>
            <w:r>
              <w:rPr>
                <w:vertAlign w:val="superscript"/>
              </w:rPr>
              <w:t>-4</w:t>
            </w:r>
          </w:p>
        </w:tc>
        <w:tc>
          <w:tcPr>
            <w:tcW w:w="1276" w:type="dxa"/>
            <w:vAlign w:val="center"/>
          </w:tcPr>
          <w:p w:rsidR="005754DC" w:rsidRDefault="005754DC">
            <w:pPr>
              <w:pStyle w:val="ConsPlusNormal"/>
              <w:jc w:val="center"/>
            </w:pPr>
            <w:r>
              <w:t>10</w:t>
            </w:r>
            <w:r>
              <w:rPr>
                <w:vertAlign w:val="superscript"/>
              </w:rPr>
              <w:t>-4</w:t>
            </w:r>
          </w:p>
        </w:tc>
      </w:tr>
    </w:tbl>
    <w:p w:rsidR="005754DC" w:rsidRDefault="005754DC">
      <w:pPr>
        <w:pStyle w:val="ConsPlusNormal"/>
        <w:jc w:val="both"/>
      </w:pPr>
    </w:p>
    <w:p w:rsidR="005754DC" w:rsidRDefault="005754DC">
      <w:pPr>
        <w:pStyle w:val="ConsPlusNormal"/>
        <w:jc w:val="both"/>
      </w:pPr>
    </w:p>
    <w:p w:rsidR="005754DC" w:rsidRDefault="005754DC">
      <w:pPr>
        <w:pStyle w:val="ConsPlusNormal"/>
        <w:jc w:val="both"/>
      </w:pPr>
    </w:p>
    <w:p w:rsidR="005754DC" w:rsidRDefault="005754DC">
      <w:pPr>
        <w:pStyle w:val="ConsPlusNormal"/>
        <w:jc w:val="both"/>
      </w:pPr>
    </w:p>
    <w:p w:rsidR="005754DC" w:rsidRDefault="005754DC">
      <w:pPr>
        <w:pStyle w:val="ConsPlusNormal"/>
        <w:jc w:val="both"/>
      </w:pPr>
    </w:p>
    <w:p w:rsidR="005754DC" w:rsidRDefault="005754DC">
      <w:pPr>
        <w:pStyle w:val="ConsPlusNormal"/>
        <w:jc w:val="right"/>
        <w:outlineLvl w:val="1"/>
      </w:pPr>
      <w:r>
        <w:t>Приложение N 2</w:t>
      </w:r>
    </w:p>
    <w:p w:rsidR="005754DC" w:rsidRDefault="005754DC">
      <w:pPr>
        <w:pStyle w:val="ConsPlusNormal"/>
        <w:jc w:val="right"/>
      </w:pPr>
      <w:r>
        <w:t>к Требованиям</w:t>
      </w:r>
    </w:p>
    <w:p w:rsidR="005754DC" w:rsidRDefault="005754DC">
      <w:pPr>
        <w:pStyle w:val="ConsPlusNormal"/>
        <w:jc w:val="right"/>
      </w:pPr>
      <w:r>
        <w:t>к организационно-техническому обеспечению</w:t>
      </w:r>
    </w:p>
    <w:p w:rsidR="005754DC" w:rsidRDefault="005754DC">
      <w:pPr>
        <w:pStyle w:val="ConsPlusNormal"/>
        <w:jc w:val="right"/>
      </w:pPr>
      <w:r>
        <w:t>устойчивого функционирования сети</w:t>
      </w:r>
    </w:p>
    <w:p w:rsidR="005754DC" w:rsidRDefault="005754DC">
      <w:pPr>
        <w:pStyle w:val="ConsPlusNormal"/>
        <w:jc w:val="right"/>
      </w:pPr>
      <w:r>
        <w:t>связи общего пользования</w:t>
      </w:r>
    </w:p>
    <w:p w:rsidR="005754DC" w:rsidRDefault="005754DC">
      <w:pPr>
        <w:pStyle w:val="ConsPlusNormal"/>
        <w:jc w:val="both"/>
      </w:pPr>
    </w:p>
    <w:p w:rsidR="005754DC" w:rsidRDefault="005754DC">
      <w:pPr>
        <w:pStyle w:val="ConsPlusTitle"/>
        <w:jc w:val="center"/>
      </w:pPr>
      <w:bookmarkStart w:id="3" w:name="P193"/>
      <w:bookmarkEnd w:id="3"/>
      <w:r>
        <w:t>ТЕХНИЧЕСКИЕ НОРМЫ ПОКАЗАТЕЛЕЙ НАДЕЖНОСТИ СЕТЕЙ СВЯЗИ</w:t>
      </w:r>
    </w:p>
    <w:p w:rsidR="005754DC" w:rsidRDefault="0057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6010"/>
        <w:gridCol w:w="2438"/>
      </w:tblGrid>
      <w:tr w:rsidR="005754DC">
        <w:tc>
          <w:tcPr>
            <w:tcW w:w="619" w:type="dxa"/>
          </w:tcPr>
          <w:p w:rsidR="005754DC" w:rsidRDefault="005754DC">
            <w:pPr>
              <w:pStyle w:val="ConsPlusNormal"/>
              <w:jc w:val="center"/>
            </w:pPr>
            <w:r>
              <w:t xml:space="preserve">N </w:t>
            </w:r>
            <w:proofErr w:type="gramStart"/>
            <w:r>
              <w:t>п</w:t>
            </w:r>
            <w:proofErr w:type="gramEnd"/>
            <w:r>
              <w:t>/п</w:t>
            </w:r>
          </w:p>
        </w:tc>
        <w:tc>
          <w:tcPr>
            <w:tcW w:w="6010" w:type="dxa"/>
          </w:tcPr>
          <w:p w:rsidR="005754DC" w:rsidRDefault="005754DC">
            <w:pPr>
              <w:pStyle w:val="ConsPlusNormal"/>
              <w:jc w:val="center"/>
            </w:pPr>
            <w:r>
              <w:t>Тип сети электросвязи</w:t>
            </w:r>
          </w:p>
        </w:tc>
        <w:tc>
          <w:tcPr>
            <w:tcW w:w="2438" w:type="dxa"/>
          </w:tcPr>
          <w:p w:rsidR="005754DC" w:rsidRDefault="005754DC">
            <w:pPr>
              <w:pStyle w:val="ConsPlusNormal"/>
              <w:jc w:val="center"/>
            </w:pPr>
            <w:r>
              <w:t>Коэффициент готовности</w:t>
            </w:r>
          </w:p>
        </w:tc>
      </w:tr>
      <w:tr w:rsidR="005754DC">
        <w:tc>
          <w:tcPr>
            <w:tcW w:w="619" w:type="dxa"/>
            <w:vAlign w:val="center"/>
          </w:tcPr>
          <w:p w:rsidR="005754DC" w:rsidRDefault="005754DC">
            <w:pPr>
              <w:pStyle w:val="ConsPlusNormal"/>
              <w:jc w:val="center"/>
            </w:pPr>
            <w:r>
              <w:t>1.</w:t>
            </w:r>
          </w:p>
        </w:tc>
        <w:tc>
          <w:tcPr>
            <w:tcW w:w="6010" w:type="dxa"/>
            <w:vAlign w:val="center"/>
          </w:tcPr>
          <w:p w:rsidR="005754DC" w:rsidRDefault="005754DC">
            <w:pPr>
              <w:pStyle w:val="ConsPlusNormal"/>
              <w:jc w:val="center"/>
            </w:pPr>
            <w:r>
              <w:t>Сеть междугородной и международной телефонной связи, не менее</w:t>
            </w:r>
          </w:p>
        </w:tc>
        <w:tc>
          <w:tcPr>
            <w:tcW w:w="2438" w:type="dxa"/>
            <w:vAlign w:val="center"/>
          </w:tcPr>
          <w:p w:rsidR="005754DC" w:rsidRDefault="005754DC">
            <w:pPr>
              <w:pStyle w:val="ConsPlusNormal"/>
              <w:jc w:val="center"/>
            </w:pPr>
            <w:r>
              <w:t>0,999</w:t>
            </w:r>
          </w:p>
        </w:tc>
      </w:tr>
      <w:tr w:rsidR="005754DC">
        <w:tc>
          <w:tcPr>
            <w:tcW w:w="619" w:type="dxa"/>
            <w:vAlign w:val="center"/>
          </w:tcPr>
          <w:p w:rsidR="005754DC" w:rsidRDefault="005754DC">
            <w:pPr>
              <w:pStyle w:val="ConsPlusNormal"/>
              <w:jc w:val="center"/>
            </w:pPr>
            <w:r>
              <w:t>2.</w:t>
            </w:r>
          </w:p>
        </w:tc>
        <w:tc>
          <w:tcPr>
            <w:tcW w:w="6010" w:type="dxa"/>
            <w:vAlign w:val="center"/>
          </w:tcPr>
          <w:p w:rsidR="005754DC" w:rsidRDefault="005754DC">
            <w:pPr>
              <w:pStyle w:val="ConsPlusNormal"/>
              <w:jc w:val="center"/>
            </w:pPr>
            <w:r>
              <w:t>Сеть зоновой телефонной связи (за исключением сети подвижной радиотелефонной связи), не менее</w:t>
            </w:r>
          </w:p>
        </w:tc>
        <w:tc>
          <w:tcPr>
            <w:tcW w:w="2438" w:type="dxa"/>
            <w:vAlign w:val="center"/>
          </w:tcPr>
          <w:p w:rsidR="005754DC" w:rsidRDefault="005754DC">
            <w:pPr>
              <w:pStyle w:val="ConsPlusNormal"/>
              <w:jc w:val="center"/>
            </w:pPr>
            <w:r>
              <w:t>0,9995</w:t>
            </w:r>
          </w:p>
        </w:tc>
      </w:tr>
      <w:tr w:rsidR="005754DC">
        <w:tc>
          <w:tcPr>
            <w:tcW w:w="619" w:type="dxa"/>
            <w:vAlign w:val="center"/>
          </w:tcPr>
          <w:p w:rsidR="005754DC" w:rsidRDefault="005754DC">
            <w:pPr>
              <w:pStyle w:val="ConsPlusNormal"/>
              <w:jc w:val="center"/>
            </w:pPr>
            <w:r>
              <w:t>3.</w:t>
            </w:r>
          </w:p>
        </w:tc>
        <w:tc>
          <w:tcPr>
            <w:tcW w:w="6010" w:type="dxa"/>
            <w:vAlign w:val="center"/>
          </w:tcPr>
          <w:p w:rsidR="005754DC" w:rsidRDefault="005754DC">
            <w:pPr>
              <w:pStyle w:val="ConsPlusNormal"/>
              <w:jc w:val="center"/>
            </w:pPr>
            <w:r>
              <w:t>Сеть подвижной радиотелефонной связи, не менее</w:t>
            </w:r>
          </w:p>
        </w:tc>
        <w:tc>
          <w:tcPr>
            <w:tcW w:w="2438" w:type="dxa"/>
            <w:vAlign w:val="center"/>
          </w:tcPr>
          <w:p w:rsidR="005754DC" w:rsidRDefault="005754DC">
            <w:pPr>
              <w:pStyle w:val="ConsPlusNormal"/>
              <w:jc w:val="center"/>
            </w:pPr>
            <w:r>
              <w:t>0,999</w:t>
            </w:r>
          </w:p>
        </w:tc>
      </w:tr>
      <w:tr w:rsidR="005754DC">
        <w:tc>
          <w:tcPr>
            <w:tcW w:w="619" w:type="dxa"/>
            <w:vAlign w:val="center"/>
          </w:tcPr>
          <w:p w:rsidR="005754DC" w:rsidRDefault="005754DC">
            <w:pPr>
              <w:pStyle w:val="ConsPlusNormal"/>
              <w:jc w:val="center"/>
            </w:pPr>
            <w:r>
              <w:t>4.</w:t>
            </w:r>
          </w:p>
        </w:tc>
        <w:tc>
          <w:tcPr>
            <w:tcW w:w="6010" w:type="dxa"/>
            <w:vAlign w:val="center"/>
          </w:tcPr>
          <w:p w:rsidR="005754DC" w:rsidRDefault="005754DC">
            <w:pPr>
              <w:pStyle w:val="ConsPlusNormal"/>
              <w:jc w:val="center"/>
            </w:pPr>
            <w:r>
              <w:t>Сеть местной телефонной связи, не менее</w:t>
            </w:r>
          </w:p>
        </w:tc>
        <w:tc>
          <w:tcPr>
            <w:tcW w:w="2438" w:type="dxa"/>
            <w:vAlign w:val="center"/>
          </w:tcPr>
          <w:p w:rsidR="005754DC" w:rsidRDefault="005754DC">
            <w:pPr>
              <w:pStyle w:val="ConsPlusNormal"/>
              <w:jc w:val="center"/>
            </w:pPr>
            <w:r>
              <w:t>0,9999</w:t>
            </w:r>
          </w:p>
        </w:tc>
      </w:tr>
      <w:tr w:rsidR="005754DC">
        <w:tc>
          <w:tcPr>
            <w:tcW w:w="619" w:type="dxa"/>
            <w:vAlign w:val="center"/>
          </w:tcPr>
          <w:p w:rsidR="005754DC" w:rsidRDefault="005754DC">
            <w:pPr>
              <w:pStyle w:val="ConsPlusNormal"/>
              <w:jc w:val="center"/>
            </w:pPr>
            <w:r>
              <w:t>5.</w:t>
            </w:r>
          </w:p>
        </w:tc>
        <w:tc>
          <w:tcPr>
            <w:tcW w:w="6010" w:type="dxa"/>
            <w:vAlign w:val="center"/>
          </w:tcPr>
          <w:p w:rsidR="005754DC" w:rsidRDefault="005754DC">
            <w:pPr>
              <w:pStyle w:val="ConsPlusNormal"/>
              <w:jc w:val="center"/>
            </w:pPr>
            <w:r>
              <w:t>Телеграфная сеть связи и сеть "Телекс", не менее</w:t>
            </w:r>
          </w:p>
        </w:tc>
        <w:tc>
          <w:tcPr>
            <w:tcW w:w="2438" w:type="dxa"/>
            <w:vAlign w:val="center"/>
          </w:tcPr>
          <w:p w:rsidR="005754DC" w:rsidRDefault="005754DC">
            <w:pPr>
              <w:pStyle w:val="ConsPlusNormal"/>
              <w:jc w:val="center"/>
            </w:pPr>
            <w:r>
              <w:t>0,9999</w:t>
            </w:r>
          </w:p>
        </w:tc>
      </w:tr>
      <w:tr w:rsidR="005754DC">
        <w:tc>
          <w:tcPr>
            <w:tcW w:w="619" w:type="dxa"/>
            <w:vAlign w:val="center"/>
          </w:tcPr>
          <w:p w:rsidR="005754DC" w:rsidRDefault="005754DC">
            <w:pPr>
              <w:pStyle w:val="ConsPlusNormal"/>
              <w:jc w:val="center"/>
            </w:pPr>
            <w:r>
              <w:t>6.</w:t>
            </w:r>
          </w:p>
        </w:tc>
        <w:tc>
          <w:tcPr>
            <w:tcW w:w="6010" w:type="dxa"/>
            <w:vAlign w:val="center"/>
          </w:tcPr>
          <w:p w:rsidR="005754DC" w:rsidRDefault="005754DC">
            <w:pPr>
              <w:pStyle w:val="ConsPlusNormal"/>
              <w:jc w:val="center"/>
            </w:pPr>
            <w:r>
              <w:t>Сеть передачи данных, не менее</w:t>
            </w:r>
          </w:p>
        </w:tc>
        <w:tc>
          <w:tcPr>
            <w:tcW w:w="2438" w:type="dxa"/>
            <w:vAlign w:val="center"/>
          </w:tcPr>
          <w:p w:rsidR="005754DC" w:rsidRDefault="005754DC">
            <w:pPr>
              <w:pStyle w:val="ConsPlusNormal"/>
              <w:jc w:val="center"/>
            </w:pPr>
            <w:r>
              <w:t>0,99</w:t>
            </w:r>
          </w:p>
        </w:tc>
      </w:tr>
    </w:tbl>
    <w:p w:rsidR="005754DC" w:rsidRDefault="005754DC">
      <w:pPr>
        <w:pStyle w:val="ConsPlusNormal"/>
        <w:jc w:val="both"/>
      </w:pPr>
    </w:p>
    <w:p w:rsidR="005754DC" w:rsidRDefault="005754DC">
      <w:pPr>
        <w:pStyle w:val="ConsPlusNormal"/>
        <w:jc w:val="both"/>
      </w:pPr>
    </w:p>
    <w:p w:rsidR="005754DC" w:rsidRDefault="005754DC">
      <w:pPr>
        <w:pStyle w:val="ConsPlusNormal"/>
        <w:pBdr>
          <w:bottom w:val="single" w:sz="6" w:space="0" w:color="auto"/>
        </w:pBdr>
        <w:spacing w:before="100" w:after="100"/>
        <w:jc w:val="both"/>
        <w:rPr>
          <w:sz w:val="2"/>
          <w:szCs w:val="2"/>
        </w:rPr>
      </w:pPr>
    </w:p>
    <w:p w:rsidR="00FB4C46" w:rsidRDefault="005754DC"/>
    <w:sectPr w:rsidR="00FB4C46" w:rsidSect="00371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754DC"/>
    <w:rsid w:val="000504BF"/>
    <w:rsid w:val="005754DC"/>
    <w:rsid w:val="0064170F"/>
    <w:rsid w:val="00E2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4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754D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754D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9C7E920122EF757D22786EF2A8E897878064435F12EB5368287D0A66116BBBAD27BDA9368CE4DCB79CBAD21BRERF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9C7E920122EF757D22786EF2A8E89782806C4D5F1AB65960717108611E34BEB836E5A43793FBDFAB80B8D0R1RBP" TargetMode="External"/><Relationship Id="rId12" Type="http://schemas.openxmlformats.org/officeDocument/2006/relationships/hyperlink" Target="consultantplus://offline/ref=8B9C7E920122EF757D22786EF2A8E897868962435918EB5368287D0A66116BBBBF27E5A5368DFAD4BD89EC835DB865D06D7B7AE60B576D23R7RD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9C7E920122EF757D22786EF2A8E89781836C405117EB5368287D0A66116BBBBF27E5A6308AF189E4C6EDDF19EC76D16E7B79E417R5R7P" TargetMode="External"/><Relationship Id="rId11" Type="http://schemas.openxmlformats.org/officeDocument/2006/relationships/hyperlink" Target="consultantplus://offline/ref=8B9C7E920122EF757D22786EF2A8E897868962435918EB5368287D0A66116BBBBF27E5A5368DFADAB089EC835DB865D06D7B7AE60B576D23R7RDP" TargetMode="External"/><Relationship Id="rId5" Type="http://schemas.openxmlformats.org/officeDocument/2006/relationships/hyperlink" Target="consultantplus://offline/ref=8B9C7E920122EF757D22786EF2A8E897818163425112EB5368287D0A66116BBBBF27E5A23F8AF189E4C6EDDF19EC76D16E7B79E417R5R7P" TargetMode="External"/><Relationship Id="rId10" Type="http://schemas.openxmlformats.org/officeDocument/2006/relationships/hyperlink" Target="consultantplus://offline/ref=8B9C7E920122EF757D22786EF2A8E897818163425112EB5368287D0A66116BBBBF27E5A5368DFEDEBD89EC835DB865D06D7B7AE60B576D23R7RD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9C7E920122EF757D22786EF2A8E897818163425112EB5368287D0A66116BBBBF27E5A23F8AF189E4C6EDDF19EC76D16E7B79E417R5R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1</cp:revision>
  <dcterms:created xsi:type="dcterms:W3CDTF">2022-12-01T15:17:00Z</dcterms:created>
  <dcterms:modified xsi:type="dcterms:W3CDTF">2022-12-01T15:18:00Z</dcterms:modified>
</cp:coreProperties>
</file>